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68BD" w14:textId="77777777" w:rsidR="00F55476" w:rsidRDefault="00F55476">
      <w:pPr>
        <w:pStyle w:val="Nagwek2"/>
        <w:rPr>
          <w:rFonts w:ascii="Arial" w:hAnsi="Arial" w:cs="Arial"/>
          <w:sz w:val="20"/>
          <w:szCs w:val="20"/>
        </w:rPr>
      </w:pPr>
    </w:p>
    <w:tbl>
      <w:tblPr>
        <w:tblW w:w="14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442"/>
        <w:gridCol w:w="1487"/>
        <w:gridCol w:w="2410"/>
        <w:gridCol w:w="3543"/>
      </w:tblGrid>
      <w:tr w:rsidR="00F55476" w14:paraId="2D704242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65B6B6" w14:textId="77777777" w:rsidR="00F55476" w:rsidRDefault="00F55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1F3F14" w14:textId="77777777" w:rsidR="00F55476" w:rsidRDefault="00F55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3CFBD" w14:textId="77777777" w:rsidR="00F55476" w:rsidRDefault="006B0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PARAMETRU / WARUNKU</w:t>
            </w:r>
          </w:p>
          <w:p w14:paraId="7B0547AB" w14:textId="77777777" w:rsidR="00F55476" w:rsidRDefault="00F55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9B6C4D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967F25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Zasady oceny parametru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878A0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parametru</w:t>
            </w:r>
          </w:p>
          <w:p w14:paraId="2D583ED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F55476" w14:paraId="451A6037" w14:textId="77777777">
        <w:trPr>
          <w:trHeight w:val="6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AAAAA1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60B55D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</w:tr>
      <w:tr w:rsidR="00F55476" w14:paraId="3370CCC0" w14:textId="77777777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E9F6F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B56662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nazwa, model/typ oferowanego tomografu komputerowego:</w:t>
            </w:r>
          </w:p>
          <w:p w14:paraId="63259DF5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Producent:</w:t>
            </w:r>
          </w:p>
          <w:p w14:paraId="3529B09F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 wytwórcy (kraj pochodzenia):</w:t>
            </w:r>
          </w:p>
          <w:p w14:paraId="1B699DD4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Dystrybutor na terenie RP:</w:t>
            </w:r>
          </w:p>
          <w:p w14:paraId="3DD88E3B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D53A7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0A30903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19758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EBD4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88A2769" w14:textId="77777777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6BA7D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1183AC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fabrycznie nowy, nieużywany, nie będące przedmiotem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podemonstracyjnym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rekondycjonowanym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wcześniej nie wykorzystywane w jakimkolwiek celu przez inny podmiot, wyprodukowany nie wcześniej niż w pierwszej połowie 2024. Żadna jego część składowa, wyposażenie nie była częścią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rekondycjonowaną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powystawową i nie była wykorzystywana wcześniej przez innego użytkownika.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F51E4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7A98280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podać 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4433A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DDCB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CD8CB7C" w14:textId="77777777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16BE6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94999E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Aparat produkowany seryjnie – nie prototyp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D60E7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F539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0A5E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BD25EF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031B9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46CEB1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system w momencie składania oferty posiada deklarację zgodności CE potwierdzony deklaracją zgodności lub certyfikatem 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743DC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73079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5D3F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219CB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92CDB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EB2CC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jednoczasowego wykonywania badań i procesów rekonstrukcji badań TK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22218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6CA0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6C07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418F7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87223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38F8E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Pełna funkcjonalność zgodna z DICOM 3.0 w zakresie: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Query/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Retrieve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B20DC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C7BD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2624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C7B33B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28C4B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101C3E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Sumaryczna liczba rzędów w detektorze do jednoczesnego wykorzystania podczas akwizycji w trybie sekwencyjnym oraz spiralnym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1835FE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64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0ADBFEF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D1B5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82E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948270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7CA81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4A1AD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warstw akwizycyjnych w obrazie podczas jednego pełnego obrotu układu lampa RTG - detektor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F41D24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128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330EDE06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684DE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1092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990124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0D406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6CB71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otworu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B9AB8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70 cm,</w:t>
            </w:r>
          </w:p>
          <w:p w14:paraId="0DF530E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62F5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99D2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0DC837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191CF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78B89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zakres stołu bez elementów metalowych umożliwiający skanowanie bez konieczności przemieszczania pacjenta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4DA38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180 cm,</w:t>
            </w:r>
          </w:p>
          <w:p w14:paraId="4886B6B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1BD04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16F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C6D5A68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ABF04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2DA671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Panele sterowania umieszczone z przodu i z tyłu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obydwu bokach: lewym i prawym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56FDE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58C59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1C6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C0B18F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31FED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0ADE71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synchronizacji akwizycji z przebiegiem EKG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04687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7327BD9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A25F4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E94B1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79E6F8BE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C9FE0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22DF6E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przebiegu EKG na monitorze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E2621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D9F21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9E947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5BFDA708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E19A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FD3630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Programowane w protokole badania wskaźniki informujące pacjenta w trakcie akwizycji o konieczności zatrzymania oddechu widoczne z przodu i z tyłu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14CFB7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3F71781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1A128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5BA02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3BED3A4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FDC29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1FB94F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filmów instruktażowych dla pacjenta na monitorze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14CEF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5577B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2722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20BC87C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E1005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0D802C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UPS umożliwiając bezproblemowe zakończenie i zapisanie aktualnie wykonywanego badania oraz bezpieczne wyłączenie systemu.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F00E2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595A961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3C36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130DE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2BD17661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B085B9" w14:textId="77777777" w:rsidR="00F55476" w:rsidRDefault="006B0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06F428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GENERATOR I LAMPA</w:t>
            </w:r>
          </w:p>
        </w:tc>
      </w:tr>
      <w:tr w:rsidR="00F55476" w14:paraId="091AA85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B7248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013F3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generatora wysokiego napięcia [kW]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E2D13C" w14:textId="77777777" w:rsidR="00F55476" w:rsidRDefault="006B004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72 kW,</w:t>
            </w:r>
          </w:p>
          <w:p w14:paraId="4081C3BD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3EF47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51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7D9B64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B9545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E5A807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ustawień wysokiego napięcia do zastosowania w protokołach badań</w:t>
            </w:r>
          </w:p>
          <w:p w14:paraId="336BC699" w14:textId="0C660F8F" w:rsidR="00F55476" w:rsidRDefault="006B004F"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Minimalny zakres </w:t>
            </w:r>
            <w:r w:rsidR="00CD6BB7">
              <w:rPr>
                <w:rFonts w:ascii="Arial" w:hAnsi="Arial" w:cs="Arial"/>
                <w:bCs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140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AE9BF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6DA16DE0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0117D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A1D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36BD68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32C7B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239B8F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możliwych pozycji napięcia do ustawienia w protokole badania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1370BA" w14:textId="77777777" w:rsidR="00F55476" w:rsidRDefault="006B004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≥ 4,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podać wszystkie dostępne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D856C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4F30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73B23CE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12502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9A218B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Automatyczny dobór napięcia w zależności od badanej anatomii i rodzaju badania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059381" w14:textId="77777777" w:rsidR="00F55476" w:rsidRDefault="006B004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F8BD0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9082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2AB3B4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D9429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DB9F5F" w14:textId="77777777" w:rsidR="00F55476" w:rsidRDefault="006B004F">
            <w:pPr>
              <w:rPr>
                <w:rFonts w:ascii="Arial" w:eastAsia="Arial Narrow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Maksymalny prąd lampy możliwy do zastosowania w</w:t>
            </w:r>
          </w:p>
          <w:p w14:paraId="7B7DF287" w14:textId="77777777" w:rsidR="00F55476" w:rsidRDefault="006B004F">
            <w:pPr>
              <w:rPr>
                <w:rFonts w:ascii="Arial" w:eastAsia="Arial Narrow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protokole badania [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mA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CE0EEB" w14:textId="77777777" w:rsidR="00F55476" w:rsidRDefault="006B004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≥ 600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1F1A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BEAC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1B5B6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0EAC6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F7B51F" w14:textId="77777777" w:rsidR="00F55476" w:rsidRDefault="006B004F">
            <w:r>
              <w:rPr>
                <w:rFonts w:ascii="Arial" w:hAnsi="Arial" w:cs="Arial"/>
                <w:bCs/>
                <w:sz w:val="20"/>
                <w:szCs w:val="20"/>
              </w:rPr>
              <w:t>Zakres ustawień prądu anodowego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0EC1C5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08D4C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8C57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9256B92" w14:textId="77777777">
        <w:trPr>
          <w:trHeight w:val="5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8DCEE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47BAB5" w14:textId="77777777" w:rsidR="00F55476" w:rsidRDefault="006B004F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Automatyczne modulowanie prądu lampy (w trakcie akwizycji)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D2611C" w14:textId="77777777" w:rsidR="00F55476" w:rsidRDefault="006B004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E44138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A6D736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B129A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547EED6D" w14:textId="77777777">
        <w:trPr>
          <w:trHeight w:val="4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9CA0C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D09284" w14:textId="77777777" w:rsidR="00F55476" w:rsidRDefault="006B004F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Pojemność cieplna anody lampy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rtg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lub jej ekwiwalent w przypadku konstrukcji innej niż klasyczna [MHU]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91897A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7 MHU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0853D7A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84DC5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5B1B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8857831" w14:textId="77777777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6760D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FBD833" w14:textId="77777777" w:rsidR="00F55476" w:rsidRDefault="006B00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Maksymalna szybkość chłodzenia anody lampy [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kHU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/min]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A1F52B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4747E3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C46E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3D5A74F4" w14:textId="77777777">
        <w:trPr>
          <w:trHeight w:val="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60CD89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B9E386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GANTRY I STÓŁ</w:t>
            </w:r>
          </w:p>
        </w:tc>
      </w:tr>
      <w:tr w:rsidR="00F55476" w14:paraId="159A6C59" w14:textId="77777777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45966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A888A5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dopuszczalna masa obciążenia stołu</w:t>
            </w:r>
          </w:p>
          <w:p w14:paraId="268F12DC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D3517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220 kg,</w:t>
            </w:r>
          </w:p>
          <w:p w14:paraId="1AEA4B3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54E4F6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72A1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3ABB64FA" w14:textId="77777777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3B4E5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39992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ogniska lampy od detektora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B456E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7807C2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E7DC3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62D84F59" w14:textId="77777777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1D9B1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D2C9A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stołu:</w:t>
            </w:r>
          </w:p>
          <w:p w14:paraId="258DA89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materac</w:t>
            </w:r>
          </w:p>
          <w:p w14:paraId="468860F2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podgłówek do badania głowy</w:t>
            </w:r>
          </w:p>
          <w:p w14:paraId="78FC0C7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podgłówek do pozycji na wznak</w:t>
            </w:r>
          </w:p>
          <w:p w14:paraId="78760D6F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pasy stabilizujące</w:t>
            </w:r>
          </w:p>
          <w:p w14:paraId="63EE5921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podpórka pod ramię, kolana i nogi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DE1FE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697BB83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57E0A4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D4F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4E8E2FB8" w14:textId="77777777">
        <w:trPr>
          <w:trHeight w:val="2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68E665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5B7B19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SKANOWANIA</w:t>
            </w:r>
          </w:p>
        </w:tc>
      </w:tr>
      <w:tr w:rsidR="00F55476" w14:paraId="4106B99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C9842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E0A67D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Maksymalne akwizycyjne pole skanowania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scanned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FOV)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5FD1B8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50 cm,</w:t>
            </w:r>
          </w:p>
          <w:p w14:paraId="37FD3E2F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476FB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55C6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5F9975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0B2F2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1C955A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Maksymalny zakres pojedynczego skanu spiralnego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9A81A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 180 cm,</w:t>
            </w:r>
          </w:p>
          <w:p w14:paraId="636CA2F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B563A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DE4A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A85185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30833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26598C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Grubość najcieńszej dostępnej warstwy przy akwizycji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akwizycji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maksymalną liczbą zaoferowanych warstw [mm]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465324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≤ 0,65 mm,</w:t>
            </w:r>
          </w:p>
          <w:p w14:paraId="45F03943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D1871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8A8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9F7F1B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03A8A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691F54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długość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E39023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 180 cm,</w:t>
            </w:r>
          </w:p>
          <w:p w14:paraId="1E1D7884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A525B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4951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875025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00BDF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848779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Możliwość zatrzymania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dowolnym czasie w celu ostatecznego zdefiniowania właściwego zakresu badania  i wyeliminowania naświetlania obszaru niezwiązanego z  danym badaniem.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4DDF28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76F6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FAEE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B3B2CE8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E6E50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EDCE5B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Minimalny czas pełnego skanu (obrót układu(ów)</w:t>
            </w:r>
          </w:p>
          <w:p w14:paraId="35126089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lampa -detektor 360 0 ) [s]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0E3BB1" w14:textId="426F9626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≤ </w:t>
            </w:r>
            <w:r w:rsidR="00CD6BB7">
              <w:rPr>
                <w:rFonts w:ascii="Arial" w:hAnsi="Arial" w:cs="Arial"/>
                <w:bCs/>
                <w:sz w:val="20"/>
                <w:szCs w:val="20"/>
              </w:rPr>
              <w:t>0,37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s,</w:t>
            </w:r>
          </w:p>
          <w:p w14:paraId="4614B98F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1F8EF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A3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9D8474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369C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2AE448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skolimownych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akwizycyjnych pól skanowania [n]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84564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 2,</w:t>
            </w:r>
          </w:p>
          <w:p w14:paraId="69EEBD81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E8FB4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D48A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9BF3D9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32E26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2570EC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Minimalna wartość współczynnika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69FB34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≤ 0,7,</w:t>
            </w:r>
          </w:p>
          <w:p w14:paraId="67D6E243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B325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3187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01259A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AA9CF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54010E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wartość współczynnika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B92358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1,370 cm,</w:t>
            </w:r>
          </w:p>
          <w:p w14:paraId="4A8DB5B8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812A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58A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915DB2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057E1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C2CA7D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Kąt pochylania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(fizyczny) przy którym możliwe jest wykonanie diagnostycznych skanów sekwencyjnych i  / lub spiralnych [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DEF59B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min.</w:t>
            </w:r>
          </w:p>
          <w:p w14:paraId="5F80E6C4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+/- 28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6F21D487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E32B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467F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8D96CF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845DB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0D63A4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Możliwość wykonywania skanu sekwencyjnego z pochylonym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pełnym zaoferowanym zakresie i uzyskania w pełni diagnostycznych obrazów w tym badań głowy, kręgosłupa z akwizycji wykonywanej w ten sposób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B48310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0B14D9A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EE912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3EC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683563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3664C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C5C5DF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Możliwość wykonywania skanu spiralnego z pochylonym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pełnym oferowanym zakresie i uzyskania w pełni diagnostycznych obrazów w tym badań głowy, kręgosłupa z akwizycji wykonywanej w ten sposób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44B4B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D6570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593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5DF7B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903AE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2F7F9C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rozdzielczość wysokokontrastowa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/cm] przy min. 64 jednocześnie zbieranych warstwach w czasie pełnego skanu w matrycy 512 x</w:t>
            </w:r>
          </w:p>
          <w:p w14:paraId="303F7484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 w płaszczyźnie XY w polu akwizycyjnym 50cm dla 50% MTF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65B490" w14:textId="4DE0084B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≥ </w:t>
            </w:r>
            <w:r w:rsidR="00CD6BB7">
              <w:rPr>
                <w:rFonts w:ascii="Arial" w:hAnsi="Arial" w:cs="Arial"/>
                <w:bCs/>
                <w:sz w:val="20"/>
                <w:szCs w:val="20"/>
              </w:rPr>
              <w:t>10,0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/cm,</w:t>
            </w:r>
          </w:p>
          <w:p w14:paraId="11CCAC2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F5956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1A1E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AA3BD3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F4C93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D77953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matryca rekonstrukcyjna [piksel x piksel]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565039" w14:textId="77777777" w:rsidR="00F55476" w:rsidRDefault="006B004F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512 x 512 [piksel x piksel],</w:t>
            </w:r>
          </w:p>
          <w:p w14:paraId="3C508A47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 wszystkie dostępne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D58B0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35F1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0E4E6D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9EA1E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B4DF5E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matryca prezentacyjna obrazów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EA26E9" w14:textId="77777777" w:rsidR="00F55476" w:rsidRDefault="006B004F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1024 x 1024 [piksel x piksel],</w:t>
            </w:r>
          </w:p>
          <w:p w14:paraId="60E3ABF5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48C4D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39EE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FB4165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79239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57555C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Szybkość rekonstrukcji obrazów [obraz/s] w czasie rzeczywistym w matrycy 512x512 z pełną jakością przebiegającą współbieżnie do akwizycji [obrazów/s]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728DC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20</w:t>
            </w:r>
          </w:p>
          <w:p w14:paraId="4CB5DF96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4F649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2F2A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395BB4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C9AC0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D92072" w14:textId="77777777" w:rsidR="00F55476" w:rsidRDefault="006B004F"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System wspomagania pozycjonowania pacjenta umożliwiający min. centrowania pacjenta, pozycjonowanie pacjenta w osi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izocentrum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gantry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BE8D29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Podać,</w:t>
            </w:r>
          </w:p>
          <w:p w14:paraId="7A3A05E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016EF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B0A4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F448C8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3F68B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A02178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Tryb badań nagłych umożliwiający wybór pacjenta, protokołu badania oraz jego modyfikację oraz uruchomienie badania bezpośrednio na panelu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30EA4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97EBE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0BA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46B3CE9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D0E3C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BFFC7F" w14:textId="77777777" w:rsidR="00F55476" w:rsidRDefault="006B00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Wykonywanie badań typu potrójnego wykluczenia u pacjentów z bólem w klatce piersiowej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4689D9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2331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A577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69F43C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0CA31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D896B8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Pojedyncze badanie potrójnego wykluczenia do wykrywania zatorowości płucnej, choroby wieńcowej i rozwarstwienia aorty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1AFEF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B50A5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ADB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86C7B3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F6EDF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143F67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Modulacja promieniowania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D1130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30D2FD3C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49A18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7149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FBF032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C052A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2F06A3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Dynamiczny kolimator, ograniczający promieniowanie w osi Z na początku i końcu skanu spiralnego pozwalający uniknąć niepotrzebnego naświetlania pacjenta podczas skanu spiralnego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1E89B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1296C82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88D4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56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E0BC3A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E9948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F34425" w14:textId="77777777" w:rsidR="00F55476" w:rsidRDefault="006B004F"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Tryb akwizycji danych obrazowych zwiększający ochronę szczególnie wrażliwych narządów np. oczu, tarczycy, piersi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8A487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 i 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0B9F6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0056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E0C5D87" w14:textId="77777777">
        <w:trPr>
          <w:trHeight w:val="3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5D3D2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FFBB3D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BEE43C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6E4699C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 i 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873CA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F34E0" w14:textId="77777777" w:rsidR="00F55476" w:rsidRDefault="00F5547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55476" w14:paraId="7E929666" w14:textId="77777777">
        <w:trPr>
          <w:trHeight w:val="2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6CC9F3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8C5B2D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KONSOLA AKWIZYCYJNA TOMOGRAFU</w:t>
            </w:r>
          </w:p>
        </w:tc>
      </w:tr>
      <w:tr w:rsidR="00F55476" w14:paraId="2705E81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A0CB1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9B9A34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Konsola wyposażona w dwa monitory LCD (min. 19”) spełniające wymagania dla stanowisk przeglądowych określonych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Rozporządzeniu Ministra Zdrowia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 sprawie testów eksploatacyjnych urządzeń radiologicznych i urządzeń pomocniczych (Dz. U. 2022, Poz. 2759)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7791D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237E0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611C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6D8BB8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A4EB6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E6D73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dostępnej bazy danych dla obrazów [512 x 512] bez kompresji wyrażona ilością obrazów niezależnie od przestrzeni dyskowej dla danych</w:t>
            </w:r>
          </w:p>
          <w:p w14:paraId="07DAE67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surowych [obrazów]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C857B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250 000</w:t>
            </w:r>
          </w:p>
          <w:p w14:paraId="67DAFF2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7C0B3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7C4E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C8A838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9F61C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7684B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codziennej kontroli jakości tomografu komputerowego wraz z możliwością archiwizowania wyników przeprowadzonych testów w plikach w formacie m.in. pdf, xls,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xml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CEBC5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731B6D3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3A494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AE9D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0DAED5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E3928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79146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Niskodawkowy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iteracyjny algorytm rekonstrukcji danych surowych (RAW) w cyklach iteracyjnych, poprawiający co najmniej jakość obrazu, rozdzielczość nisko- kontrastową oraz pozwalającą na redukcję dawki promieniowania w porównaniu do standardowej rekonstrukcji bez pogorszenia jakości (parametr potwierdzony w oficjalnych danych producenta)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027E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1BD6BDA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3589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DAB8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951833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CF96B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D4E2B7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szybkiego podglądu badania (rekonstrukcja obrazów w czasie rzeczywistym z szybkością min. 55 obrazów/s) podczas skanowania pozwalając na przerwanie badania po przeskanowaniu wymaganego obszaru.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0A34D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9AC67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CCEA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567B66A" w14:textId="77777777">
        <w:trPr>
          <w:trHeight w:val="13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2389A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64C01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aparatu poprzez Interfejs sieciowy zgodnie z DICOM 3.0 z następującymi klasami serwisowymi:</w:t>
            </w:r>
          </w:p>
          <w:p w14:paraId="292AAFFD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/ Receive,</w:t>
            </w:r>
          </w:p>
          <w:p w14:paraId="65AE513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Retrieve,</w:t>
            </w:r>
          </w:p>
          <w:p w14:paraId="6B6E1EFD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Storage,</w:t>
            </w:r>
          </w:p>
          <w:p w14:paraId="7AA7CDB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8BBE6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150017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B13771" w14:textId="77777777" w:rsidR="00F55476" w:rsidRDefault="00F55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8AFA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954113E" w14:textId="77777777">
        <w:trPr>
          <w:trHeight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CE006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F2986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MIP (Maximum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CCB21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D8983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510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B8C236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263C4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E472C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 (VRT) (Volume Rendering Technique)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14DC9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6071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CBFE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22FAFE6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369EE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7BBDA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wielopłaszczyznowe (MPR), rekonstrukcje wzdłuż dowolnej prostej lub krzywej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272AB9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9ED5A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6FDF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10C40F5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FF467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3ECC73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SSD (Surface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Shaded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Display)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36185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5197A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3C2C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6CFC499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8DDF5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BDD8CE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synchronizacji startu badania na podstawie automatycznej analizy napływu środka cieniującego w zadanej warstwie bez wykonywania wstrzyknięć testowych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334CA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0F5E4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0C6E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D38742E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A0EBD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85A0B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analityczne (pomiar poziomu gęstości, profile gęstości, histogram)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72F94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D2C5A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4965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C8BA6C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CDC3C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DBA20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geometryczne (długość, kątów, powierzchni, objętości)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E4858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E30D2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CF9E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0EFB6E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89D8F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545550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manipulacji obrazu (przedstawianie w negatywie, obrót obrazu i odbicia lustrzane, powiększenie obrazu, dodawanie i subtrakcja obrazów)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59CE0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40E47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881F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A538E6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49912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51F343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monitorowania poziomu dawki, ostrzegające użytkowania w przypadku, gdy szacunkowa dawka dla skanu przewyższa wartość dawki ustanowionej przez użytkownika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EE1B5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4F9CD0A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FE231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3E8B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393B84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8A915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F63F2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dotyczący rzeczywistej dawki jaką otrzymał pacjent w każdej serii dołączany do badania w postaci dodatkowej serii DICOM z możliwością jego zapamiętania i wydruku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E1636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AF551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011B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A50499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12254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2C332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archiwizacji badań/obrazów na CD-R lub DVD w formacie DICOM 3.0 z automatycznym wgrywaniem przeglądarki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umożliwiającej odtwarzanie obrazów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B3921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F899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A99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22DA89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245AF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C243D1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neurologicznych</w:t>
            </w:r>
          </w:p>
          <w:p w14:paraId="0DB08876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perfuzyjnych</w:t>
            </w:r>
          </w:p>
          <w:p w14:paraId="486FE10C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pulmonologicznych</w:t>
            </w:r>
          </w:p>
          <w:p w14:paraId="07195C7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Akwizycja obrazów do badań onkologicznych</w:t>
            </w:r>
          </w:p>
          <w:p w14:paraId="72FCB8D6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wirtualnej endoskopii</w:t>
            </w:r>
          </w:p>
          <w:p w14:paraId="644BDCC1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naczyniowych</w:t>
            </w:r>
          </w:p>
          <w:p w14:paraId="4D60D16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Akwizycja obrazów do badań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subtrakcyjnych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4EF90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B32387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6EA8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019E1" w14:textId="77777777" w:rsidR="00F55476" w:rsidRDefault="006B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55476" w14:paraId="1FB4D0D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A9E9F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80C620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umożliwiające wykonanie badania różnych obszarów anatomicznych (np. klatka piersiowa, jama brzuszna, kończyny dolne) ze zmiennymi wartościami parametrów skanowania spiralnego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bramkowanie, modulacja dawki) w jednym planie, z jednego podania kontrastu-dla min. 3 obszarów, bez zatrzymania procesu skanowania (oraz bez zatrzymywania stołu) pomiędzy poszczególnymi obszarami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anatomicznymi (potwierdzone w oficjalnych materiałach producenta)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3D91F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1590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4EA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387A4A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BDC07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8DA40B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Automatyczny raport dawki, tworzony przez system po zakończeniu badania, podający poziom dawki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CTDIvol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DLP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DB1BE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CB3C7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CA1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A4A578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C5764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56B40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44E8D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A4CBA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5C02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3DA1B1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0C1C46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A5988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WOLNOSTOJĄCE STACJE OPISOWE – 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F55476" w14:paraId="0255EB2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4DE7F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C7F74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fabrycznie nowe stacje opisowe o parametrach minimalnych:</w:t>
            </w:r>
          </w:p>
          <w:p w14:paraId="0666E3E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procesor: min. 6 rdzeni, CPU Benchmark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Software CPU Mark, http://cpubenchmark.net) – min. 19 000 pkt.</w:t>
            </w:r>
          </w:p>
          <w:p w14:paraId="344288E3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32 GB pamięci RAM,</w:t>
            </w:r>
          </w:p>
          <w:p w14:paraId="778A301F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dysk SSD dla systemu operacyjnego i głównych aplikacji systemowych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o pojemności min. 512 GB,</w:t>
            </w:r>
          </w:p>
          <w:p w14:paraId="0B65164B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dwa dyski 1 TB SATA 7200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/min,</w:t>
            </w:r>
          </w:p>
          <w:p w14:paraId="4014E6A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 kartę sieciową o przepustowości min.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portem </w:t>
            </w:r>
            <w:r>
              <w:rPr>
                <w:rFonts w:ascii="Arial" w:hAnsi="Arial" w:cs="Arial"/>
                <w:sz w:val="20"/>
                <w:szCs w:val="20"/>
              </w:rPr>
              <w:br/>
              <w:t>RJ-45,</w:t>
            </w:r>
          </w:p>
          <w:p w14:paraId="7CE08ED8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 portów USB, z tego przynajmniej 2 x USB 3.0,</w:t>
            </w:r>
          </w:p>
          <w:p w14:paraId="4DD4E4F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5F9763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słuchawkowe,</w:t>
            </w:r>
          </w:p>
          <w:p w14:paraId="1D3FA6C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mikrofonowe,</w:t>
            </w:r>
          </w:p>
          <w:p w14:paraId="2DED024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nagrywarkę CD/DVD,</w:t>
            </w:r>
          </w:p>
          <w:p w14:paraId="787CE7D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dedykowana karta graficzna umożliwiająca podłączenie przynajmniej dwóch monitorów diagnostycznych i pozwalająca na wyświetlenie obrazów zgodnie z Rozporządzeniem Ministra Zdrowia w sprawie warunków bezpiecznego stosowania promieniowania jonizującego </w:t>
            </w:r>
            <w:r>
              <w:rPr>
                <w:rFonts w:ascii="Arial" w:hAnsi="Arial" w:cs="Arial"/>
                <w:sz w:val="20"/>
                <w:szCs w:val="20"/>
              </w:rPr>
              <w:br/>
              <w:t>dla wszystkich rodzajów ekspozycji medycznej [Dz.U. 2023, Poz. 195]</w:t>
            </w:r>
          </w:p>
          <w:p w14:paraId="6AD6BD4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klawiaturę, myszkę, okablowanie sygnałowe i zasilające,</w:t>
            </w:r>
          </w:p>
          <w:p w14:paraId="4B274F9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każdą stację opisową dwa monitory medyczne o przekątnej ekranu min. 24”, diagnostyczne, opisowe o parametrach określonych w Rozporządzeniu Ministra Zdrowia w sprawie warunków bezpiecznego stosowania promieniowania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jonizującego dla wszystkich rodzajów ekspozycji medycznej [Dz.U. 2023, Poz. 195] w zakresie wykorzystania do opisu obrazów z tomografii komputerowej (TK). Zgodność parametrów z ww. rozporządzeniem powinna być spełniona dla pracy w fabrycznym trybie DICOM po wykonaniu wszystkich niezbędnych kalibracji matrycy monitora oraz 1 monitor do opisu badań o przekątnej min. 19”.</w:t>
            </w:r>
          </w:p>
          <w:p w14:paraId="3E2519C4" w14:textId="732D8DCB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 wersja 64-bitowa z aktywnym wsparciem w języku polskim, możliwość pracy w Active Directory. System musi posiadać wsparcie producenta co najmniej 3 lata od dnia sprzedaży,</w:t>
            </w:r>
          </w:p>
          <w:p w14:paraId="305A39BD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OFFICE lub inny zintegrowany pakiet biurowy (zawierający co najmniej: edytor tekstu, arkusz kalkulacyjny, program do tworzenia prezentacji, program do obsługi poczty elektronicznej oraz kalendarz),</w:t>
            </w:r>
          </w:p>
          <w:p w14:paraId="1065D0B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Zachowanie zgodności z formatami plików utworzonych za pomocą oprogramowania Microsoft Excel, Word, Power Point.</w:t>
            </w:r>
          </w:p>
          <w:p w14:paraId="19586DF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instalacji na komputerach na systemach operacyjnych Microsoft Windows: 10, 11.</w:t>
            </w:r>
          </w:p>
          <w:p w14:paraId="707F839B" w14:textId="77777777" w:rsidR="00AD3392" w:rsidRPr="00CE0DBB" w:rsidRDefault="00AD3392" w:rsidP="00210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DBB">
              <w:rPr>
                <w:rFonts w:ascii="Arial" w:hAnsi="Arial" w:cs="Arial"/>
                <w:sz w:val="20"/>
                <w:szCs w:val="20"/>
              </w:rPr>
              <w:t xml:space="preserve">Zamawiający w pkt 74 dopuszcza rozwiązanie, w którym parametr 2 x </w:t>
            </w:r>
            <w:proofErr w:type="spellStart"/>
            <w:r w:rsidRPr="00CE0DB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E0DBB">
              <w:rPr>
                <w:rFonts w:ascii="Arial" w:hAnsi="Arial" w:cs="Arial"/>
                <w:sz w:val="20"/>
                <w:szCs w:val="20"/>
              </w:rPr>
              <w:t xml:space="preserve"> może być zrealizowany za pomocą kabla będącego adapterem z mini </w:t>
            </w:r>
            <w:proofErr w:type="spellStart"/>
            <w:r w:rsidRPr="00CE0DB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E0DBB">
              <w:rPr>
                <w:rFonts w:ascii="Arial" w:hAnsi="Arial" w:cs="Arial"/>
                <w:sz w:val="20"/>
                <w:szCs w:val="20"/>
              </w:rPr>
              <w:t xml:space="preserve"> do standardu </w:t>
            </w:r>
            <w:proofErr w:type="spellStart"/>
            <w:r w:rsidRPr="00CE0DB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E0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4DA24" w14:textId="0CB1BAD0" w:rsidR="00AD3392" w:rsidRDefault="00AD3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3172DE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Tak,</w:t>
            </w:r>
          </w:p>
          <w:p w14:paraId="3A1075AE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7F758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D2D7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CA5DB3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2ADE2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988336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sieciowy zgodnie z DICOM 3.0 obsługujący następujące klasy serwisowe:</w:t>
            </w:r>
          </w:p>
          <w:p w14:paraId="1DEE9CB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Receive</w:t>
            </w:r>
            <w:proofErr w:type="spellEnd"/>
          </w:p>
          <w:p w14:paraId="65FDDF4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</w:p>
          <w:p w14:paraId="576AC03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Query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Retrieve</w:t>
            </w:r>
            <w:proofErr w:type="spellEnd"/>
          </w:p>
          <w:p w14:paraId="355CE4A2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BBEED9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C6C61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9156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B7C938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D8AB6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35162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MIP (Maximum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A0317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972EE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09E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EA01E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AF5C8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7CC80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 (VRT) (Volume Rendering Technique)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2CED3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95280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6BC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5276E49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57878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F64D7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wielopłaszczyznowe (MPR), rekonstrukcje wzdłuż dowolnej prostej lub krzywej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075DE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AAFDD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8EDC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0948D5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BEA71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1C36BE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SSD (Surface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Shaded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Display)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6CE70D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E890E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BA3B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A64D68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FFA8C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FB00DD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analityczne (pomiar poziomu gęstości, profile gęstości, histogram)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5CC9A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B1857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A89C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AE3459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86280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BB20A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geometryczne (długość, kątów, powierzchni, objętości)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DFE39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2B9BB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145E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6515C1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F2C01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C0690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manipulacji obrazu (przedstawianie w negatywie, obrót obrazu i odbicia lustrzane, powiększenie obrazu, dodawanie i subtrakcja obrazów)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8A2BC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BD486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F87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159993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47771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B15E51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Automatyczne numerowanie żeber i kręgów kręgosłupa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7C078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3A293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C7C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FB6C45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572B1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1E05D3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Automatyczne usuwanie struktur kostnych z pozostawieniem wyłącznie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zakontrastowanego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drzewa naczyniowego. Możliwość prezentacji układu naczyniowego oraz przeziernych struktur kostnych w czasie rzeczywistym.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D2470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FB5CB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0A06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37B07C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983D6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77E6BE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oparte o algorytmy głębokiego uczenia do automatycznej segmentacji wszystkich kręgów kręgosłupa i ich etykietowania. Algorytm uczony w oparciu o obrazy zawierający normalne i nieprawidłowe zestawy danych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ADBD07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różne artefakty powstałe od: implant kręgowy, cement kostny, artefakty dentystyczne, utwardzanie wiązki, niska dawka</w:t>
            </w:r>
          </w:p>
          <w:p w14:paraId="6DD8CC4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różne kształty kręgosłupa: kifoza, skolioza, lordoza, kręgozmyk, postawa pacjenta</w:t>
            </w:r>
          </w:p>
          <w:p w14:paraId="3121AD5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różny kształt dysków: przepuklina, dysk zwyrodnieniowy</w:t>
            </w:r>
          </w:p>
          <w:p w14:paraId="7403ABA8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różny kształt kręgów: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osteofity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zapalenie stawów, złamanie, złamanie ściskane,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spondyloza</w:t>
            </w:r>
            <w:proofErr w:type="spellEnd"/>
          </w:p>
          <w:p w14:paraId="4BDD500E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różną gęstość kręgów: osteoporoza, przerzuty, cement kostny</w:t>
            </w:r>
          </w:p>
          <w:p w14:paraId="0455050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różne odmiany anatomiczne: lumbalizacja, sakralizacja, atroficzne żebra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AE8C2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Podać,</w:t>
            </w:r>
          </w:p>
          <w:p w14:paraId="5F4366E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CF37E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09B8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2520B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E6E5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0777B2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angiografii TK umożliwiające automatyczną identyfikację i izolację zakontraktowanego naczynia z objętości badanej (rozwinięcie wzdłuż linii centralnej naczynia, z pomiarem średnicy, pola przekroju w płaszczyźnie</w:t>
            </w:r>
          </w:p>
          <w:p w14:paraId="4387B5D1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prostopadłej do osi naczynia, automatyczne wyznaczanie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stenozy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56EEB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10A98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3E7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CC8FDB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64567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55A1C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oceny zmian ogniskowych w płucach, z automatyczną identyfikacją zmian guzkowych w miąższu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przyopłucnowych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 program komputerowy, z możliwością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zapamiętywania położenia zmian, automatyczną oceną dynamiki wielkości zmian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2BBF2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</w:t>
            </w:r>
          </w:p>
          <w:p w14:paraId="085245E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5011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F9A8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B8CA2C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B973C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9B522A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diagnostyki chorób płuc /POCHP i rozedmy miąższowej/ umożliwiające obliczenie rozedmy i analizę dróg oddechowych.</w:t>
            </w:r>
          </w:p>
          <w:p w14:paraId="2FABE9EE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Ocenę drzewa oskrzelowego w przypadku pacjentów z ciężką niewydolnością oddechową, ciężkimi zaburzenia rytmu serca z synchronizacją położenia kursora)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3A0CA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5B05320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5DD11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84A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FFA8EB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4CA6C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A6B98C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Segmentacja płatów płuc i automatyczne obliczanie rozedmy w poszczególnych płatach płuc.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28EB9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E25DB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114D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6A301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428AA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CEFA86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umożliwiające dokonanie pomiarów grubości ścian poszczególnych dróg oddechowych oraz średnicy ich światła wraz z prezentacją zewnętrznych i wewnętrznych konturów tych ścian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6D9AD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D9A1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3D7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E6AA2C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C33D9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1DB665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oceny badań zapalenia płuc oraz przypadków COVID-19. Możliwość wyliczenia i przedstawienia w postaci tabelarycznej:</w:t>
            </w:r>
          </w:p>
          <w:p w14:paraId="04EB2EEA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indeksu zmian typu matowej szyby i zagęszczeń miąższowych: łącznego, dla lewego i prawego płuca,</w:t>
            </w:r>
          </w:p>
          <w:p w14:paraId="4D7381FA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objętości: łącznej, dla lewego i prawego płuca,</w:t>
            </w:r>
          </w:p>
          <w:p w14:paraId="634E2BC9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objętości zmian typu matowej szyby i zagęszczeń miąższowych: łącznej, dla lewego i prawego płuca</w:t>
            </w:r>
          </w:p>
          <w:p w14:paraId="48F2A14D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udziału procentowego zmian typu matowej szyby i zagęszczeń miąższowych: łącznego, dla lewego i prawego płuca,</w:t>
            </w:r>
          </w:p>
          <w:p w14:paraId="1F22D44D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Wizualizacja obszaru zmian typu matowej szyby i zagęszczeń miąższowych w widoku osiowym 2D oraz w widoku 3D  na tle widoku płuc.</w:t>
            </w:r>
          </w:p>
          <w:p w14:paraId="163752D6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Eksport wyników.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718C7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Podać,</w:t>
            </w:r>
          </w:p>
          <w:p w14:paraId="1625CDC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5509E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9303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7FD539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F3004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5FBEFF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Segmentacja zmian ogniskowych w narządach miąższowych umożliwiająca pomiar średnicy, objętości i gęstości zmiany z możliwością porównania wielu badań tego samego pacjenta jednocześnie, wraz z synchronizacją przestrzenną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2F36D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57E01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F56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21BCB9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7C2DB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F2438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automatycznej segmentacji 3D i oceny krwiaków w mózgu wraz z automatycznym obliczaniem objętości krwiaka oraz jego krótkiej i długiej osi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159CE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307A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C9FD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FA2FAF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5F838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45BA0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segmentacji 3D i oceny tętniaków w mózgu wraz z automatycznym obliczaniem objętości tętniaka, minimalnej i maksymalnej długości tętniaka oraz maksymalnej i minimalnej średnicy szyjki tętniaka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FF165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0888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3D3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FD6CC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83827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31F9A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perfuzji mózgu umożliwiająca ocenę ilościową i jakościową (mapy barwne) co najmniej następujących parametrów: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(miejscowy przepływ krwi),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(miejscowa objętość krwi) oraz TTP (czas do szczytu krzywej wzmocnienia) lub MTT (średni czas przejścia)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4392B9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60A43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99A9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451D59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43C04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351CEB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Badania perfuzji mózgu oraz guzów mózgu z funkcją klasyfikacji tkankowej polegającej na segmentacji regionów niedokrwiennych mózgu na podstawie map przepływu i objętości krwi.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A3402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E02D3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49C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F796EB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7AD12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B77958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Wizualizacja map perfuzyjnych mózgowia w 3D i VRT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B7288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9B34D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6D58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D8FBB99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99F6F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A44576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0990A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FEB61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D03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683B70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1CD2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D08E0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perfuzji wątroby umożliwiające ocenę ilościową i jakościową (mapy barwne) co najmniej następujących parametrów: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(miejscowy przepływ krwi),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(miejscowa objętość krwi) oraz TTP (czas do szczytu krzywej wzmocnienia) lub MTT (średni czas przejścia)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E607F9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CCBC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7E9D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692C98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12398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36A92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tętnic wieńcowych z funkcjami: rozwinięcie wzdłuż linii centralnej naczynia, pomiar średnicy, pola przekroju w płaszczyźnie prostopadłej, automatyczne wyznaczanie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stenozy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04B36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628BA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191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EC25C6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4A929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E6AB6C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Automatyczna segmentacja i etykietowanie naczyń</w:t>
            </w:r>
          </w:p>
          <w:p w14:paraId="7F4B3375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wieńcowych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021EF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6BCA1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5C48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AB1757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5F003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98AF2D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oceny zwapnień naczyń</w:t>
            </w:r>
          </w:p>
          <w:p w14:paraId="60851FB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wieńcowych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1EE16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B9D87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92A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4CDCF5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F57F0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15F233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oceny parametrów czynnościowych komór serca z pomiarem m.in.: objętości skurczowej, objętości rozkurczowej,</w:t>
            </w:r>
          </w:p>
          <w:p w14:paraId="39F96824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objętości wyrzutowej, frakcji wyrzutowej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1D103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03A70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AC4D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B834EF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97D35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9258F7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Automatyczne wyznaczanie obrysów wewnętrznych i zewnętrznych mięśnia serca (wsierdzia i nasierdzia) wszystkich czterech jam serca wraz z obliczaniem</w:t>
            </w:r>
          </w:p>
          <w:p w14:paraId="6E6BB858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parametrów funkcjonalnych wszystkich czterech jam serca.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8C062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D4B52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6486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70DECD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79F7A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1EC743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Uwidocznienie tętnic wieńcowych w prezentacji typu IVUS (wewnątrznaczyniowe badanie ultrasonograficzne) z oceną morfologii i lokalizacji blaszki miażdżycowej.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CF506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4B301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0CB8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0BB919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4341E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442072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automatycznej segmentacji zmian ogniskowych z automatycznym wyznaczaniem parametrów: max średnicy, objętości, średniej</w:t>
            </w:r>
          </w:p>
          <w:p w14:paraId="097AFD81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gęstości wraz z odchyleniem standardowym zgodnie z kryteriami WHO, RECIST1.0, RECIST1.1,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Lung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-RADS</w:t>
            </w:r>
          </w:p>
          <w:p w14:paraId="4E5BECFE" w14:textId="77777777" w:rsidR="00A26286" w:rsidRPr="002102B9" w:rsidRDefault="00A26286" w:rsidP="002102B9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02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Zamawiający dopuszcza w pkt 106 oprogramowanie bez możliwości wykorzystania kryterium: </w:t>
            </w:r>
          </w:p>
          <w:p w14:paraId="379FAFC7" w14:textId="77777777" w:rsidR="00A26286" w:rsidRPr="002102B9" w:rsidRDefault="00A26286" w:rsidP="002102B9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02B9">
              <w:rPr>
                <w:rFonts w:ascii="Arial" w:hAnsi="Arial" w:cs="Arial"/>
                <w:sz w:val="20"/>
                <w:szCs w:val="20"/>
                <w:lang w:eastAsia="pl-PL"/>
              </w:rPr>
              <w:t>WHO i Lang-RADS</w:t>
            </w:r>
          </w:p>
          <w:p w14:paraId="2F9D940D" w14:textId="68150558" w:rsidR="00A26286" w:rsidRDefault="00A262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457A1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695CC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946B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2991F7F9" w14:textId="77777777">
        <w:trPr>
          <w:trHeight w:val="6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CCE190" w14:textId="77777777" w:rsidR="00F55476" w:rsidRDefault="006B0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F62263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INTEGRALNE WYPOSAŻENIE TOMOGRAFU KOMPUTEROWEGO</w:t>
            </w:r>
          </w:p>
        </w:tc>
      </w:tr>
      <w:tr w:rsidR="00F55476" w14:paraId="35C8B89A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E2D44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F6E3A4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System sygnalizacji świetlnej na zewnątrz pracowni, informujący o włączeniu zasilania aparatu TK oraz wykonywanej ekspozycji.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87CC5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B7F80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B41CF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08A8238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5EC99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691B18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fantomów niezbędnych do kalibracji i kontroli jakości TK zgodnie z Rozporządzeniem Ministra Zdrowia w sprawie testów eksploatacyjnych urządzeń radiologicznych i urządzeń pomocniczych (Dz. U. 2022, Poz. 2759) oraz zalecanych przez producenta.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41552F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2B6DFAD0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3BD87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EB9A4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18A9593E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82A0D0" w14:textId="77777777" w:rsidR="004E66D7" w:rsidRDefault="004E66D7" w:rsidP="00CE0DBB">
            <w:pPr>
              <w:pStyle w:val="Akapitzlist"/>
              <w:widowControl/>
              <w:ind w:left="357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F86F26" w14:textId="77777777" w:rsidR="004E66D7" w:rsidRPr="00670F31" w:rsidRDefault="004E66D7" w:rsidP="00670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F31">
              <w:rPr>
                <w:rFonts w:ascii="Arial" w:hAnsi="Arial" w:cs="Arial"/>
                <w:sz w:val="20"/>
                <w:szCs w:val="20"/>
              </w:rPr>
              <w:t>Kamera do obserwacji pacjenta, z możliwością podglądu bezpośrednio z konsoli operatora</w:t>
            </w:r>
          </w:p>
          <w:p w14:paraId="0CCCBD01" w14:textId="1D565225" w:rsidR="00670F31" w:rsidRPr="00133896" w:rsidRDefault="00670F31" w:rsidP="00670F31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38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Zamawiający uzna wprowadzony wymóg za spełniony zarówno dla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1338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kamery zintegrowanej z </w:t>
            </w:r>
            <w:proofErr w:type="spellStart"/>
            <w:r w:rsidRPr="001338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ganrty</w:t>
            </w:r>
            <w:proofErr w:type="spellEnd"/>
            <w:r w:rsidRPr="001338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jak i zewnętrznej kamery z podglądem na ekranie zainstalowanym z sterowni</w:t>
            </w:r>
          </w:p>
          <w:p w14:paraId="77602925" w14:textId="0D161A37" w:rsidR="00670F31" w:rsidRPr="00670F31" w:rsidRDefault="00670F3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BED95F" w14:textId="77777777" w:rsidR="004E66D7" w:rsidRPr="00CE0DBB" w:rsidRDefault="004E66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0D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3F176BA0" w14:textId="5F826C59" w:rsidR="004E66D7" w:rsidRPr="00CE0DBB" w:rsidRDefault="004E66D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0D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88A448" w14:textId="77777777" w:rsidR="004E66D7" w:rsidRDefault="004E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1318C1" w14:textId="77777777" w:rsidR="004E66D7" w:rsidRDefault="004E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C8BAC0E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B24B74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0561F4" w14:textId="77777777" w:rsidR="00F55476" w:rsidRDefault="006B004F">
            <w:pPr>
              <w:jc w:val="center"/>
            </w:pPr>
            <w:bookmarkStart w:id="0" w:name="_Hlk161402271"/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AUTOMATYCZNA STRZYKAWKA – 1 SZTUKA</w:t>
            </w:r>
            <w:bookmarkEnd w:id="0"/>
          </w:p>
        </w:tc>
      </w:tr>
      <w:tr w:rsidR="00F55476" w14:paraId="209C6403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54437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AD16C6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4FB56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67EDD8B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9F27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A9869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A74EDD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B579D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0F1FA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Model/Typ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3DB2D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2401C66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254C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F04C2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8583B3C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89392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621783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fabrycznie nowe, rok produkcji 2024, nieużywane, nie będące przedmiotem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podemonstracyjnym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rekondycjonowanym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wcześniej nie wykorzystywane w jakimkolwiek celu przez inny podmiot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2CB2C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D2C9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7D3B4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B248FFB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E52CD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F6D95F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znakiem CE potwierdzone deklaracją zgodności lub certyfikatem 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FE0F7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A42F1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B007B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5699291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B4793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9BBF9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minimum 2-tłokowe posiadające możliwość jednoczesnego podawania (iniekcji) środka kontrastowego oraz soli fizjologicznej w określonych objętościach oraz z określonym ciśnieniem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12316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FD96E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920F8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157206B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28A24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E5B92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funkcja podgrzewania podawanego środka kontrastowego/soli fizjologicznej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FD250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831E6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31C4C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0A09017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839B1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E087C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parametrów pracy urządzenia z panelu dotykowego zintegrowanego z dedykowanym urządzeniem sterującym umieszczonym w sterowni aparatu TK (kolorowy panel sterujący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LCD)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C4FA3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C0CB0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3AAA3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A26A60C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C49E3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F6985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Uzbrojenie i rozpoczęcie iniekcji ze sterowni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3F454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50AD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2D12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CCCDCC6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BCE48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DAF51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Wyzwalanie podawania kontrastu na podstawie ustawień w protokole badania tomograficznego przy użyciu panelu sterowania konsoli automatycznej strzykawki</w:t>
            </w:r>
          </w:p>
          <w:p w14:paraId="4FF88DAD" w14:textId="77777777" w:rsidR="00A26286" w:rsidRPr="007C33FE" w:rsidRDefault="00A26286" w:rsidP="002102B9">
            <w:pPr>
              <w:shd w:val="clear" w:color="auto" w:fill="FFFFFF"/>
              <w:suppressAutoHyphens w:val="0"/>
              <w:jc w:val="both"/>
              <w:rPr>
                <w:rFonts w:cs="Arial"/>
                <w:sz w:val="22"/>
                <w:szCs w:val="22"/>
                <w:lang w:eastAsia="pl-PL"/>
              </w:rPr>
            </w:pPr>
            <w:r w:rsidRPr="007C33FE">
              <w:rPr>
                <w:rFonts w:cs="Arial"/>
                <w:sz w:val="22"/>
                <w:szCs w:val="22"/>
                <w:lang w:eastAsia="pl-PL"/>
              </w:rPr>
              <w:t>Z</w:t>
            </w:r>
            <w:r w:rsidRPr="00CE0D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amawiający dopuszcza rozwiązanie z protokołami wstrzyknięć zapisanymi w pamięci </w:t>
            </w:r>
            <w:proofErr w:type="spellStart"/>
            <w:r w:rsidRPr="00CE0DBB">
              <w:rPr>
                <w:rFonts w:ascii="Arial" w:hAnsi="Arial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CE0D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wyzwalanymi przez sterowanie z TK</w:t>
            </w:r>
          </w:p>
          <w:p w14:paraId="0498553B" w14:textId="2E2057F4" w:rsidR="00A26286" w:rsidRDefault="00A26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0A7CC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615E3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685D3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139146A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3E70F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7FC5A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Napełnianie wkładów ręcznie i automatycznie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CEC4C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5EEA3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4C327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2DE0F6E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D0F2C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FEDF6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Definiowanie opóźnienia wyzwalania iniekcji oraz pauzy pomiędzy kolejnymi iniekcjami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CDA99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F0F0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4A6A5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A80D50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02AC8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A282E7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wstrzykująca umieszczona bezpośrednio przy aparacie TK na statywie wyposażonym w kółka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84B50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22AB7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188B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14:paraId="1E2EAD6E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F023C1" w14:textId="77777777" w:rsidR="004E66D7" w:rsidRDefault="004E66D7" w:rsidP="00CE0DBB">
            <w:pPr>
              <w:pStyle w:val="Akapitzlist"/>
              <w:widowControl/>
              <w:ind w:left="357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98626E" w14:textId="60571F30" w:rsidR="004E66D7" w:rsidRPr="00CE0DBB" w:rsidRDefault="004E66D7" w:rsidP="004E66D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 w:rsidRPr="00CE0DBB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Sprzężenie tomografu komputerowego ze strzykawką min. klasy IV wg standardu CIA 425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04DC18" w14:textId="4650CBDB" w:rsidR="004E66D7" w:rsidRPr="00CE0DBB" w:rsidRDefault="004E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7C5F28" w14:textId="77777777" w:rsidR="004E66D7" w:rsidRDefault="004E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5B6497" w14:textId="77777777" w:rsidR="004E66D7" w:rsidRDefault="004E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0910AFD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138052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2E7D7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DUPLIKATOR PŁYT CD/DVD (1sztuka)</w:t>
            </w:r>
          </w:p>
        </w:tc>
      </w:tr>
      <w:tr w:rsidR="00F55476" w14:paraId="1B9776C1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5F58F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E3BE89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117553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CEA5A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B6C45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F896B8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B39D9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B1444E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Model/Typ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9642B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8B6E2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0CD29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E505462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BAE7F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6291E7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pojemników wejściowych – minimum 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841F36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AE41B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1C074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7349946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C21DE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02DD59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pojemników wyjściowych – minimum 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F26769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761D4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4F246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2ECFF69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E8F70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5AD21D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Typy nośników wydruku CD-R, DVD-R, DVD+R, DVD-R DL, DVD+R DL,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BluRay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3B904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1BDE2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261B2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1858616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0F413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461EFF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Jednoczesne kopiowanie i drukowanie na płytach CD/DVD lub rozdzielenie tych funkcji – tylko wydruk lub tylko kopia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1FD6B4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7CAED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C4BC30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5DA34D4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75C9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C85583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pojemników wejściowych – minimum 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8548E0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497B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0F5FC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6105D6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29733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3523B9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pojemnika wyjściowego – minimum 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A852E4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80B0C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0A5B6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676ECFE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29BBE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1A92F7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Rozdzielczość drukowania (minimum): 1440 x 1440 pikseli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84E5E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7560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060EE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2648483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6E98C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E7CF3B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ustawienia średnicy zewnętrznej: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70 ÷ 119mm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05C21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F45E1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C9D7B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30A5051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3C359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E08479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ustawienia średnicy wewnętrznej: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8 ÷ 50mm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4703A7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63F48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A80D1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CB98579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B8190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A50713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obszaru drukowania w zakresie 45 - 116mm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0D1C2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FEADA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57FE0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C427577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42438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248FD1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napędów – 2 napędy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AE2A9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A542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0F2C37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67BED7E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A1350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7BABAD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Oprogramowanie umożliwiające wyświetlanie badań TK w różnych projekcjach oraz wraz z podstawowymi funkcjami przeglądania (powiększanie, zmniejszanie, przesuwanie, zmiana intensywności 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kontrastu wyświetlania)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75E1C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63E95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FB51C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E40DCC8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52E43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0941CE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Oprogramowanie do projektowania nadruków na płyty z możliwością wykorzystania projektów z innych programów graficznych lub stworzenia własnego projektu z opisem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2E6E66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4E34E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50EA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A7E5CFA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62CBE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3568A9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Oddzielny wkład dla każdego koloru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FCEC05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F740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6D846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DBA6D98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C1EE1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D89BCA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Komunikacja ze stacją za pośrednictwem port USB min. 3.0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DD5247" w14:textId="77777777" w:rsidR="00F55476" w:rsidRDefault="006B0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Tak,</w:t>
            </w:r>
          </w:p>
          <w:p w14:paraId="5BAA229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FEE36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670F1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EBDC34B" w14:textId="77777777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0B5FA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622246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Integracja z systemem PACS lub systemami obrazowania i danych medycznych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C9BAA2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09C59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ED61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3883B4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F9F428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186930" w14:textId="77777777" w:rsidR="00F55476" w:rsidRDefault="006B004F">
            <w:pPr>
              <w:jc w:val="center"/>
            </w:pPr>
            <w:bookmarkStart w:id="2" w:name="_Hlk161402325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KARDIOMONITOR – 1 SZTUKA</w:t>
            </w:r>
            <w:bookmarkEnd w:id="2"/>
          </w:p>
        </w:tc>
      </w:tr>
      <w:tr w:rsidR="00F55476" w14:paraId="249C1E0E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57727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0F57AC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Kolorowy wyświetlacz LCD min.17 cali</w:t>
            </w:r>
          </w:p>
          <w:p w14:paraId="7CA317CE" w14:textId="77777777" w:rsidR="00AD3392" w:rsidRPr="00CE0DBB" w:rsidRDefault="00AD3392" w:rsidP="00AD33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DBB">
              <w:rPr>
                <w:rFonts w:ascii="Arial" w:hAnsi="Arial" w:cs="Arial"/>
                <w:sz w:val="20"/>
                <w:szCs w:val="20"/>
              </w:rPr>
              <w:t xml:space="preserve">Zamawiający dopuszcza  </w:t>
            </w:r>
            <w:r w:rsidRPr="00CE0DBB">
              <w:rPr>
                <w:rFonts w:ascii="Arial" w:hAnsi="Arial" w:cs="Arial"/>
                <w:sz w:val="20"/>
                <w:szCs w:val="20"/>
                <w:lang w:eastAsia="en-US"/>
              </w:rPr>
              <w:t>kardiomonitor z czytelnym ekranem o przekątnej 15</w:t>
            </w:r>
          </w:p>
          <w:p w14:paraId="01CEAD8D" w14:textId="181FDA88" w:rsidR="00AD3392" w:rsidRDefault="00AD3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E4B2CA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ABF4E9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DF4D10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218C9B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39BE4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447BD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4E96E2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FF180B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4A43D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439AA1F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FF908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5962F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na podstawie jezdnej ( min 5 kół w tym min. Dwa z hamulcem) z koszykiem na akcesoria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36843A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7B5BD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7F3ED8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16F7139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451F4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CCF13B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kanałów 3 -50 mm/s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4F3E7F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1D74B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35D8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DDEB249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B6D5F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67EF45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Trendy min. 24-110 godzin</w:t>
            </w:r>
          </w:p>
          <w:p w14:paraId="443ACC87" w14:textId="024DAEA8" w:rsidR="00AD3392" w:rsidRPr="00AD3392" w:rsidRDefault="00AD3392">
            <w:pPr>
              <w:rPr>
                <w:rFonts w:ascii="Arial" w:hAnsi="Arial" w:cs="Arial"/>
                <w:sz w:val="20"/>
                <w:szCs w:val="20"/>
              </w:rPr>
            </w:pPr>
            <w:r w:rsidRPr="00CE0DBB">
              <w:rPr>
                <w:rFonts w:ascii="Arial" w:hAnsi="Arial" w:cs="Arial"/>
                <w:sz w:val="20"/>
                <w:szCs w:val="20"/>
              </w:rPr>
              <w:t>Zamawiający dopuści kardiomonitor wyposażony w dłuższą od wymaganej pamięć trendów, z ostatnich 168 godzin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C53D8C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D6E9EC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D8AFD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ABD5F6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6A529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EE596C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Alarmy dla wszystkich parametrów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E9486C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8C15F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32E665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22DBB69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009F9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F678A3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EKG – odprowadzenia I,II,III,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aVL,aVF,Vn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7EBB7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EA8B31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EA8ACD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4C53FC9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F76ED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64986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pomiarowy oddechu 0-150 1/min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37A73E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17F13A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8E3A00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5C7EE2D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0F4BC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DC1B3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pomiarowy O2 – 0-100%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0BFC38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D7CCE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DBBA1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5FBFE4B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D12D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D7915B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Akustyczna sygnalizacja saturacji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F00F2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81FC65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BC957E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F21344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B5B6B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2971CA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NIBP 10-300 mmHg</w:t>
            </w:r>
          </w:p>
          <w:p w14:paraId="59305955" w14:textId="12FF0E1B" w:rsidR="00AD3392" w:rsidRPr="00AD3392" w:rsidRDefault="00AD3392">
            <w:pPr>
              <w:rPr>
                <w:rFonts w:ascii="Arial" w:hAnsi="Arial" w:cs="Arial"/>
                <w:sz w:val="20"/>
                <w:szCs w:val="20"/>
              </w:rPr>
            </w:pPr>
            <w:r w:rsidRPr="00CE0DBB">
              <w:rPr>
                <w:rFonts w:ascii="Arial" w:hAnsi="Arial" w:cs="Arial"/>
                <w:sz w:val="20"/>
                <w:szCs w:val="20"/>
              </w:rPr>
              <w:t xml:space="preserve">Zamawiający dopuszcza </w:t>
            </w:r>
            <w:r w:rsidRPr="00CE0DBB">
              <w:rPr>
                <w:rFonts w:ascii="Arial" w:hAnsi="Arial" w:cs="Arial"/>
                <w:sz w:val="20"/>
                <w:szCs w:val="20"/>
                <w:lang w:eastAsia="en-US"/>
              </w:rPr>
              <w:t>kardiomonitor z zakresem pomiaru NIBP 10-280 mmHg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E00891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B571B9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D8B83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5476" w14:paraId="55E0308E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DEACF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9EED55" w14:textId="77777777" w:rsidR="00F55476" w:rsidRDefault="006B00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0388AE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9F5AE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6EDB4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275201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B393A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351064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na urządzenia oraz wszystkie elementy dodatkowe dostarczone w ramach niniejszego zadania min. 24 miesiące</w:t>
            </w:r>
          </w:p>
          <w:p w14:paraId="36C29D2D" w14:textId="77777777" w:rsidR="00F55476" w:rsidRDefault="006B004F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Gwarancja liczona od daty uruchomienia potwierdzonego podpisaniem „Protokołu instalacji, uruchomienia,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przeprowadzeniu testów odbiorczych producenta</w:t>
            </w:r>
            <w:r>
              <w:rPr>
                <w:rFonts w:ascii="Arial" w:hAnsi="Arial" w:cs="Arial"/>
                <w:sz w:val="20"/>
                <w:szCs w:val="20"/>
              </w:rPr>
              <w:t xml:space="preserve"> i końcowego odbioru”</w:t>
            </w:r>
          </w:p>
          <w:p w14:paraId="6314A0CF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obejmuje komponenty specjalne (bez ograniczeń liczby skanów TK, detektory, lampę oraz inne urządzenia i oprogramowanie będące przedmiotem zamówienia)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6A20C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67777A1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94508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E202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6B58B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5BC4F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A08962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Przeglądy gwarancyjne zgodnie z dokumentacją producenta, dokonywane </w:t>
            </w:r>
            <w:r>
              <w:rPr>
                <w:rFonts w:ascii="Arial" w:hAnsi="Arial" w:cs="Arial"/>
                <w:sz w:val="20"/>
                <w:szCs w:val="20"/>
              </w:rPr>
              <w:br/>
              <w:t>na koszt Wykonawcy, po uprzednim uzgodnieniu terminu z Użytkownikiem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C330E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D3889AE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0697A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F59B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56E552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37563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F39835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zdalnej diagnostyki serwisowej poprzez łącze szerokopasmowe i sieć komputerową Zamawiającego. Dotyczy aparatu TK oraz serwera aplikacyjnego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22F86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9F73E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2D8C5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450EF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C587B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F378ED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zgłaszania awarii 24 [h/dobę], 365 [dni /rok].</w:t>
            </w:r>
            <w:r>
              <w:rPr>
                <w:rFonts w:ascii="Arial" w:hAnsi="Arial" w:cs="Arial"/>
                <w:sz w:val="20"/>
                <w:szCs w:val="20"/>
              </w:rPr>
              <w:br/>
              <w:t>Dotyczy aparatu TK oraz serwera aplikacyjnego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72FDF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855C0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28189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BEAA4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5CAC3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46BB0E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serwisu w przypadku awarii - rozumiany jako: czas podjęcia działań od momentu zgłoszenia awarii przez Użytkownika do chwili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zdalnej naprawy z siedziby Wykonawcy lub przybycia do siedziby Zamawiającego inżyniera serwisowego.</w:t>
            </w:r>
          </w:p>
          <w:p w14:paraId="4B82C71A" w14:textId="7F6238A8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reakcji serwisu w przypadku awarii nie może być dłuższy niż 24 godziny</w:t>
            </w:r>
            <w:r w:rsidR="00751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D27">
              <w:rPr>
                <w:rFonts w:ascii="Arial" w:hAnsi="Arial" w:cs="Arial"/>
                <w:color w:val="000000"/>
                <w:kern w:val="0"/>
                <w:sz w:val="19"/>
                <w:szCs w:val="19"/>
                <w:lang w:bidi="ar-SA"/>
              </w:rPr>
              <w:t>w dni robocze od liczone od pn. do pt. w godzinach od 8:00 do 16:00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1D011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BEEB1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4E1D1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B7CCB8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969AF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C2D7C7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Konsultacje, dotyczące poszczególnych elementów oferowanej konfiguracji, poprzez bezpośredni kontakt z inżynierem serwisowym (telefon komórkowy)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DCF16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256C2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B32AC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CB9223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985BC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058615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zobowiązuje się do usunięcia usterek i wad w terminie do 2 dni roboczych, licząc od czasu zgłoszenia awarii telefonicznie lub za pośrednictwem poczty elektronicznej, a w przypadku konieczności sprowadzania części z zagranicy – w terminie 5 dni roboczych od zgłoszenia. Dni robocze są rozumiane jako dni od poniedziałku do piątku z wyłączeniem sobót, świąt i dni ustawowo wolnych od pracy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F5B497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1DB9F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74A3B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FC7145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6221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B4815D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gwarancji Wykonawca zapewnia min 95% czas bezawaryjnego działania dla poszczególnych elementów oferowanej konfiguracji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D3876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FD6FB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B40F9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FEFDD1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64D49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3D075E" w14:textId="77777777" w:rsidR="00F55476" w:rsidRDefault="006B004F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napraw gwarancyjnych uprawniających do wymiany tego samego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podzespołu/modułu/elementu/części – maksymalnie 3 naprawy.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zobowiązany do wymiany tego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podzespołu/modułu/elementu/części </w:t>
            </w:r>
            <w:r>
              <w:rPr>
                <w:rFonts w:ascii="Arial" w:hAnsi="Arial" w:cs="Arial"/>
                <w:sz w:val="20"/>
                <w:szCs w:val="20"/>
              </w:rPr>
              <w:t>na fabrycznie nowy.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50587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5DE93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C836E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40630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00AD2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FF215B" w14:textId="77777777" w:rsidR="00F55476" w:rsidRDefault="006B004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na wymieniony podzespół, materiały, elementy min. 12 miesięcy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AF93B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C3F19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18C4B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DCB866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249BC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78E1A9" w14:textId="77777777" w:rsidR="00F55476" w:rsidRDefault="006B004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75C51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16119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AEA3B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93421D6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EF54D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958906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Każda naprawa gwarancyjna trwająca powyżej 5 dni roboczych powoduje przedłużenie okresu gwarancji o czas przestoju aparatu.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B6A6B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27685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DBB17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CE993D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02CF0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CD39E7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lub uszkodzone części zamienne, wymienione podczas naprawy, Wykonawca zutylizuje lub podejmie inne działania zgodne z europejskimi przepisami dotyczącymi gospodarki odpadami, bez dodatkowego wynagrodzenia.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331E2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1859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29428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37DE19A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D9DA3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94C5B9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oprogramowania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dla zaoferowanej aparatury w okresie gwarancji na koszt Wykonawcy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7212F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4E4F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4D673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E02F23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44C05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948D72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posiada ważne dokumenty potwierdzające autoryzacje producenta w zakresie instalacji i serwisowania oferowanego aparatu TK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032A3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76D3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ACE61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B039AD0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13123A" w14:textId="77777777" w:rsidR="00F55476" w:rsidRDefault="006B004F">
            <w:pPr>
              <w:ind w:left="142" w:hanging="1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AF2AA4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INFRASTRUKTURA IT WRAZ Z ROZBUDOWĄ POSIADANEGO SERWER PACS</w:t>
            </w:r>
          </w:p>
        </w:tc>
      </w:tr>
      <w:tr w:rsidR="00F55476" w14:paraId="0D06603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56F11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6C86F4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Rozbudowa posiadanego przez Zamawiającego serwera PACS:</w:t>
            </w:r>
          </w:p>
          <w:p w14:paraId="1C8218EF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Procesor: AMD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Epic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min. ośmiordzeniowy/szesnastowątkowy klasy x64, o bazowej częstotliwości min. 3.1 GHz dedykowany do pracy z zaoferowanym serwerem</w:t>
            </w:r>
          </w:p>
          <w:p w14:paraId="4603379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Pamięć RAM: min. 64GB DDR4</w:t>
            </w:r>
          </w:p>
          <w:p w14:paraId="04780FC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Dyski twarde: Zainstalowane min. 2 dyski SSD o pojemności 480GB każdy, połączone w RAID1 o wynikowej pojemności - 960GB oraz zainstalowane min. 2 dyski 7.2K SATA o pojemności min. 16TB każdy, połączone w RAID1 o wynikowej pojemności 16 TB.</w:t>
            </w:r>
          </w:p>
          <w:p w14:paraId="0D02AF39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Zasilanie: redundancja, o mocy min. 700W pojedynczy</w:t>
            </w:r>
          </w:p>
          <w:p w14:paraId="3B08D45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Interfejsy sieciowe: min. dwie zintegrowane karty sieciowe 1GbE, min dwa interfejsy 10GbE SFP+ (podłączenie do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stack’a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przełączników DLINK D-Link DXS-3610-54S)</w:t>
            </w:r>
          </w:p>
          <w:p w14:paraId="5CC6845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System operacyjny: 64bitowy system operacyjny z 5 letnim wsparciem producenta)</w:t>
            </w:r>
          </w:p>
          <w:p w14:paraId="46CEDD2F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UPS dobrany do parametrów serwera PACS,</w:t>
            </w:r>
          </w:p>
          <w:p w14:paraId="0908320A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Montaż i instalacja w głównej serwerowni, podłączenie nowego serwera PACS do przełącznika sieciowe dwoma interfejsami sieciowymi (SFP+),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wkładek ( 1 zapasowa) SFP+</w:t>
            </w:r>
          </w:p>
          <w:p w14:paraId="1A745492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BDD1B9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System Backupu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Synology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typu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rack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: Dysk sieciowy minimum 4 zatokowy, procesor o architekturze 64-bitowej, minimum dwurdzeniowy o częstotliwości min. 2.1GHz, ze sprzętowym mechanizmem szyfrowania, funkcjonalność WORM (Write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Once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, Read Many), interfejs sieciowy – min. 2 porty LAN min. 1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Gbit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/s, min. 2 porty 10GbE SFP+, zainstalowane min. 2 dyski twarde zoptymalizowane pod kątem pamięci NAS 3,5” SATA 6Gb/s o pojemności min. 16TB każdy połączone w RAID 1</w:t>
            </w:r>
          </w:p>
          <w:p w14:paraId="6C782C52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UPS dobrany do parametrów serwera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Synology</w:t>
            </w:r>
            <w:proofErr w:type="spellEnd"/>
          </w:p>
          <w:p w14:paraId="5949361B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Montaż i instalacja w starej serwerowni, podłączenie do przełącznika sieciowe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D-Link DGS-3130-30TS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dwoma zagregowanymi interfejsami sieciowymi (SFP+),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wkładek (1 zapasowa) SFP+</w:t>
            </w:r>
          </w:p>
          <w:p w14:paraId="68AD8E6F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53E365A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Dwa zewnętrzne dyski z interfejsem min USB 3.1 o pojemności min 8 TB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B8087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299B0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2DB85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109E1E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A5D9D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A338B2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Dostawa, instalacja, wdrożenie dodatkowej licencji posiadanego i użytkowanego przez Zamawiającego systemu archiwizacji i dystrybucji badań obrazowych PACS dedykowanego dla dostarczanego tomografu komputerowego wraz z pełną integracją, konfiguracją i podłączeniem dostarczanego aparatu do systemu PACS.</w:t>
            </w:r>
          </w:p>
          <w:p w14:paraId="19C2B67E" w14:textId="77777777" w:rsidR="00F55476" w:rsidRDefault="006B004F">
            <w:pPr>
              <w:spacing w:before="40" w:after="4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Gwarancja, wsparcie serwisowe i aktualizacje oprogramowania PACS na czas zgodny z gwarancją udzieloną na dostarczany tomograf komputerowy.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DFD19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789B8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F40FD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0F67CF7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8EDE2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8EC9426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Dostawa, instalacja, wdrożenie dodatkowej licencji posiadanego i użytkowanego przez Zamawiającego systemu monitorowania dawki promieniowania pacjenta wraz z pełną integracją, konfiguracją i integracją z posiadanym przez Zamawiającego systemem PACS.</w:t>
            </w:r>
          </w:p>
          <w:p w14:paraId="76FC2874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Gwarancja, wsparcie serwisowe i aktualizacje oprogramowania na czas zgodny z gwarancją udzieloną na dostarczany tomograf komputerowy.</w:t>
            </w:r>
          </w:p>
          <w:p w14:paraId="42A8E240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Dostawca wraz z dostawą nowej licencji systemu monitorowania dawki promieniowania musi zapewnić aktualizację całego system monitorowania dawki promieniowania do najnowszej i aktualnej na dzień dostawy wersji.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FC91A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6DB7A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2B234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544BD0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2505E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5FE6E7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Integracja posiadanego przez Zamawiającego systemu PACS ze szpitalnym systemem HIS firmy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Kamsoft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wraz z dostarczeniem modułu RIS tego samego dostawcy co posiadany przez Zamawiającego system HIS.</w:t>
            </w:r>
          </w:p>
          <w:p w14:paraId="7829F50B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Dostawa, instalacja, wdrożenie wszystkich wymaganych licencji (w tym 3 licencji na stanowiska pracowni radiologicznej RIS, 1 licencji na połączenie z systemem zewnętrznym po HL7 ver2.3 oraz innych wymaganych do poprawnego funkcjonowania systemu)</w:t>
            </w:r>
          </w:p>
          <w:p w14:paraId="7CAAB1FC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Gwarancja, wsparcie serwisowe i aktualizacje oprogramowania na czas zgodny z gwarancją udzieloną na dostarczany tomograf komputerowy.</w:t>
            </w:r>
          </w:p>
          <w:p w14:paraId="3B7B0EA7" w14:textId="77777777" w:rsidR="00F55476" w:rsidRDefault="00F55476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EDEB1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61BE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D833B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284EC34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15D08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ED8A10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Utworzenie nowego węzła sieciowego w pracowni TK/RTG, połączonego światłowodem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jednomodowym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z główną serwerownią, wykorzystanie 2 nitek do wykonania agregacji portów na przełączniku sieciowym:</w:t>
            </w:r>
          </w:p>
          <w:p w14:paraId="27D63213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Patch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Panel 19” 24x</w:t>
            </w:r>
          </w:p>
          <w:p w14:paraId="5F4BC77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Agregowanie połączenia 2 nitek z serwerowni na wkładkach SFP+ przełącznik sieciowy D-Link DGS-3130-30TS (używany przez Zamawiającego)</w:t>
            </w:r>
          </w:p>
          <w:p w14:paraId="792FDB6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Wkładki SFP+ do przełącznika sieciowego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wkładek (1 zapasowa) SFP+</w:t>
            </w:r>
          </w:p>
          <w:p w14:paraId="3C01AB1B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Pachcord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0.75cm</w:t>
            </w:r>
          </w:p>
          <w:p w14:paraId="270E01CD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UPS dobrany do parametrów przełącznika światłowodowego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67EAE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AB095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931B2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33683C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663C3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21D696" w14:textId="77777777" w:rsidR="00F55476" w:rsidRDefault="006B004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Rozszerzenie posiadanego przez Zamawiającego oprogramowania diagnostycznego zainstalowanego na serwerze PACS i w pełni zintegrowanego z posiadanym przez Zamawiającego systemem PACS oprogramowania diagnostycznego umożliwiającego opisywanie min. badań TK, MR o 2 (dwóch) jednocześnie zalogowanego użytkownika o parametrach min. opisanych w poniższych punktach</w:t>
            </w:r>
          </w:p>
          <w:p w14:paraId="26321DF2" w14:textId="77777777" w:rsidR="00F55476" w:rsidRDefault="006B004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podstawowe:</w:t>
            </w:r>
          </w:p>
          <w:p w14:paraId="6BB3A481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Szerokość/Poziom Okna: Manipulowanie poziomem okna obrazu przy użyciu myszy.</w:t>
            </w:r>
          </w:p>
          <w:p w14:paraId="65BACFAA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Wstępne ustawienia W/L: Możliwość wyboru z listy dostępnych ustawień szerokości/poziomu okna.</w:t>
            </w:r>
          </w:p>
          <w:p w14:paraId="4ABD8EB0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Przesuń: Przesuwanie obrazu umożliwia pozycjonowanie obrazów w widocznym obszarze.</w:t>
            </w:r>
          </w:p>
          <w:p w14:paraId="6517DF49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Powiększenie: Zwiększ/zmniejsz obraz</w:t>
            </w:r>
          </w:p>
          <w:p w14:paraId="5FDDDC31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Skroluj: Przewijaj obrazy serii za pomocą kółka myszy, przeciągając je pionowo lub za pomocą skrótów klawiaturowych.</w:t>
            </w:r>
          </w:p>
          <w:p w14:paraId="5D553A7C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Obróć/Odwróć: Obróć obraz w prawo/lewo i odwróć go poziomo/pionowo z możliwością przywrócenia pierwotnej orientacji obrazu.</w:t>
            </w:r>
          </w:p>
          <w:p w14:paraId="29B19C7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Lupa: Powiększenie określonego obszaru obrazu.</w:t>
            </w:r>
          </w:p>
          <w:p w14:paraId="1DCC268C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BEF8DDE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Przyrządy pomiarowe:</w:t>
            </w:r>
          </w:p>
          <w:p w14:paraId="702262A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Linia: Odległość między dwoma punktami</w:t>
            </w:r>
          </w:p>
          <w:p w14:paraId="722F74C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Kąt: Tworzenie i mierzenie kątów między trzema punktami</w:t>
            </w:r>
          </w:p>
          <w:p w14:paraId="21A128CE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Pomiar kąta między dwiema liniami.</w:t>
            </w:r>
          </w:p>
          <w:p w14:paraId="3EA7273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Polilinia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Odległość od określonej liczby punktów</w:t>
            </w:r>
          </w:p>
          <w:p w14:paraId="2D97AA7E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Obszar: Pomiar powierzchni z określonej liczby punktów.</w:t>
            </w:r>
          </w:p>
          <w:p w14:paraId="2E746AE2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Elipsa: Pomiar powierzchni elipsy, wartości min, max, średniej i odchylenia standardowego</w:t>
            </w:r>
          </w:p>
          <w:p w14:paraId="4335220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Prostokat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Pomiar powierzchni prostokąta, wartości min, max, średnia i odchylenie standardowe</w:t>
            </w:r>
          </w:p>
          <w:p w14:paraId="6867AD7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Objętość: Pomiar objętości za pomocą okręgów utworzonych z określonej liczby punktów</w:t>
            </w:r>
          </w:p>
          <w:p w14:paraId="6C7704F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Różnica wysokości: Pomiar odległości pionowej i kąta między linią poziomą a linią łączącą punkty</w:t>
            </w:r>
          </w:p>
          <w:p w14:paraId="2D06B4A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CTR: Pomiar współczynnika sercowo-piersiowego (CTR) w celu oszacowania wielkości serca</w:t>
            </w:r>
          </w:p>
          <w:p w14:paraId="754C34D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Płaskostopie: Pomiar wysklepienia podłużnego stopy w celu wykrycia płaskostopia podłużnego</w:t>
            </w:r>
          </w:p>
          <w:p w14:paraId="079315D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Goniometria: Pomiar długości zniekształceń kątowych kości udowej, piszczelowej i udowo-piszczelowej</w:t>
            </w:r>
          </w:p>
          <w:p w14:paraId="30B9796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TT-TG: Pomiar odległości między guzowatością kości piszczelowej a rowkiem bloczkowym w celu ilościowego określenia niestabilności rzepki kolana</w:t>
            </w:r>
          </w:p>
          <w:p w14:paraId="567322E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kręgosłupa: Narzędzie do zaznaczania kręgów kręgosłupa. Możliwość wykluczenia etykiet i oznaczenia patologicznych kręgów: T13 i/lub L6. Mierzy równowagę kręgosłupa</w:t>
            </w:r>
          </w:p>
          <w:p w14:paraId="1A0F0ADB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kręgu: Pomiar kąta między narysowaną przez użytkownika osią kręgu a poziomą osią obrazu</w:t>
            </w:r>
          </w:p>
          <w:p w14:paraId="4E202E9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ROI: Pomiar obrazów wielkości i kształtu określonego obiektu</w:t>
            </w:r>
          </w:p>
          <w:p w14:paraId="43A8A8E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Krzywa: Elastyczne zaznaczenie obszar obrazu, w celu obliczenia powierzchni</w:t>
            </w:r>
          </w:p>
          <w:p w14:paraId="38639EE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Ołówek: Zaznaczenie obszar obrazu dowolnym rysunkiem</w:t>
            </w:r>
          </w:p>
          <w:p w14:paraId="60D3AB4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Strzałka: Zaznaczanie obszar zainteresowania na obrazie, filmie lub wielu klatkach</w:t>
            </w:r>
          </w:p>
          <w:p w14:paraId="335DC45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Teksty: Możliwość umieszczenia pola tekstowego na obrazie w celu zapisywania notatek tekstowych</w:t>
            </w:r>
          </w:p>
          <w:p w14:paraId="2F4119E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ciągły: Możliwość aktywacji narzędzia w celu kilkukrotnego powtórzenia pomiarów</w:t>
            </w:r>
          </w:p>
          <w:p w14:paraId="6F8AF7B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Intensywność: Pomiar intensywności obrazu w jednostkach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Hounsfielda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(HU).</w:t>
            </w:r>
          </w:p>
          <w:p w14:paraId="414E616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kątów: Wyświetlanie wszystkich kątów między przecinającymi się liniami</w:t>
            </w:r>
          </w:p>
          <w:p w14:paraId="76FA92B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kalibracji: Zmiana skali pomiaru.</w:t>
            </w:r>
          </w:p>
          <w:p w14:paraId="05DC47F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STD: Średnia wartość i odchylenie standardowe pikseli w kwadracie o wymiarach 10 na 10 mm</w:t>
            </w:r>
          </w:p>
          <w:p w14:paraId="6EC1600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Usuń: Usuwanie pomiarów aktywnego obrazu</w:t>
            </w:r>
          </w:p>
          <w:p w14:paraId="0B8E37E7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A034B7E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segmentacji:</w:t>
            </w:r>
          </w:p>
          <w:p w14:paraId="1B7411EB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Segmentacja: Narzędzie do zaznaczania obszarów zainteresowania na obrazach medycznych</w:t>
            </w:r>
          </w:p>
          <w:p w14:paraId="4EE0227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Pole ograniczenia: Narzędzie umożliwia zaznaczenie interesującego nas obszaru poprzez narysowanie wokół niego prostokąta ograniczającego. Możliwość zaznaczenia segmentów pola ograniczenia w 2D lub 3D.</w:t>
            </w:r>
          </w:p>
          <w:p w14:paraId="0797DF2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Inteligentne narzędzia zaznaczania: Umożliwia zaznaczenie obszaru zainteresowania, rysując kontur na obrazie. Wypełnia obszar zainteresowania za pomocą inteligentnych narzędzi zaznaczania z regulowanym: promieniem i czułością. Możliwość korzystania z narzędzi zarówno w trybie 2D, jak i 3D</w:t>
            </w:r>
          </w:p>
          <w:p w14:paraId="685837BA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B5EB7A2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widoku:</w:t>
            </w:r>
          </w:p>
          <w:p w14:paraId="1BB78C42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Aktywator przewijania: Możliwość włączenia/wyłączenia funkcji jednoczesnego przewijania aktywnych widoków serii obrazów</w:t>
            </w:r>
          </w:p>
          <w:p w14:paraId="6B8C819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Propagacja elipsy ROI: Możliwość propagacji ROI pomiaru (Elipsy) do innych otwartych widoków</w:t>
            </w:r>
          </w:p>
          <w:p w14:paraId="0855426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do schowka: Możliwość kopiowania zawartości widoku do schowka przy użyciu formatu kompresji PNG z widocznego obszaru</w:t>
            </w:r>
          </w:p>
          <w:p w14:paraId="49E0045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 do schowka: Możliwość skopiowania obrazu w oryginalnej rozdzielczości do schowka (bez adnotacji i manipulacji).</w:t>
            </w:r>
          </w:p>
          <w:p w14:paraId="3214330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Możliwość zapisania zawartości widoku jako wtórny obraz DICOM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nowej serii</w:t>
            </w:r>
          </w:p>
          <w:p w14:paraId="4BF7A708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Szybki dostęp: Możliwość korzystania z dedykowanych kontrolek w celu szybkiego dostępu do obrazów z dodatkowymi danymi. Kontrolki szybkiego dostępu: Pasek przewijania, Kluczowe obiekty, Adnotacje</w:t>
            </w:r>
          </w:p>
          <w:p w14:paraId="76CFBCEA" w14:textId="77777777" w:rsidR="00F55476" w:rsidRDefault="00F55476">
            <w:pPr>
              <w:pStyle w:val="Akapitzlist"/>
              <w:autoSpaceDE w:val="0"/>
              <w:ind w:left="71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8F4323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Właściwości szablonu wyświetlania (Layout):</w:t>
            </w:r>
          </w:p>
          <w:p w14:paraId="050F5F6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widoku: Wybór spośród różnych typów układów, aby wyświetlić do 12 badań DICOM w tym samym czasie.</w:t>
            </w:r>
          </w:p>
          <w:p w14:paraId="39CA883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Miniatury obrazów: Zmiana położenia miniatur na ekranie</w:t>
            </w:r>
          </w:p>
          <w:p w14:paraId="29D7A0F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 ekran: Możliwość przełączenia na widok pełnoekranowy</w:t>
            </w:r>
          </w:p>
          <w:p w14:paraId="5047AD9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Wiele obrazów: Wybór liczby obrazów, które można załadować w oknie</w:t>
            </w:r>
          </w:p>
          <w:p w14:paraId="68DACBE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wielu badań: Możliwość otwierania wielu badań i porównywania obrazów tego samego pacjenta lub różnych pacjentów na jednym ekranie (widoku).</w:t>
            </w:r>
          </w:p>
          <w:p w14:paraId="2CCE0FA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podzielenie widoku: Możliwość przeglądanie obrazów z wielu badań i porównywania ich obok siebie</w:t>
            </w:r>
          </w:p>
          <w:p w14:paraId="783C2BB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Historia pacjenta: Łatwy dostęp do całej Historii Pacjenta. Możliwość filtrowania badań według ID, Nazwy, Modalności, Opisu itp. Unikalny filtr ‘roczny’ do filtrowania badań według roku</w:t>
            </w:r>
          </w:p>
          <w:p w14:paraId="37673EA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Object: Możliwość oznaczania instancji i zapisywania ich jako Kluczowe Obrazy do późniejszego przejrzenia.</w:t>
            </w:r>
          </w:p>
          <w:p w14:paraId="0EDBD86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Hanging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Protocols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Możliwość skonfigurowania ułożenia zestawu obrazów w celu szybszej diagnozy</w:t>
            </w:r>
          </w:p>
          <w:p w14:paraId="23099653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1D8BCC1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manipulacji obrazem:</w:t>
            </w:r>
          </w:p>
          <w:p w14:paraId="32CE005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Linie odniesienia: Nakładające się na siebie linie referencyjne pozwalają wskazać położenie wycinka obrazu na innym obrazie przecinającej się płaszczyzny</w:t>
            </w:r>
          </w:p>
          <w:p w14:paraId="23F00DB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Celownik: Przedstawia przecinające się płaszczyzny wybranego punktu w badaniu głównym</w:t>
            </w:r>
          </w:p>
          <w:p w14:paraId="4B4A952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Wyrównaj i zablokuj: Funkcja wyrównywania obrazu w lewo lub w prawo i blokowania go podczas stosowania operacji powiększania lub przesuwania</w:t>
            </w:r>
          </w:p>
          <w:p w14:paraId="074895B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Jednoczesne przewijanie: Łączenie serii – ręczne jednoczesne przewijanie. Możliwość włączenia/wyłączenia dla każdego widoku. Możliwość przewijania wszystkich badań w otwartych widokach</w:t>
            </w:r>
          </w:p>
          <w:p w14:paraId="06A46F3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Synchronizuj okna: Opcjonalna synchronizacja okien tej samej serii</w:t>
            </w:r>
          </w:p>
          <w:p w14:paraId="6D4A58E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Synchronizuj akcje: Synchronizuj operacje Okien, Palety kolorów, Przesuwania i Powiększenia dla tej samej serii lub dla wszystkich widoków</w:t>
            </w:r>
          </w:p>
          <w:p w14:paraId="5840A4C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Paleta kolorów: Możliwość zastosowania palety kolorów dla obrazów monochromatycznych DICOM</w:t>
            </w:r>
          </w:p>
          <w:p w14:paraId="42FE35A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Histogram</w:t>
            </w:r>
          </w:p>
          <w:p w14:paraId="2D5CBC2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/Tworzenie wielu klatek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multiframe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Łączy wszystkie serie obrazów w jeden film i umożliwia szybkie przewijanie obrazów</w:t>
            </w:r>
          </w:p>
          <w:p w14:paraId="59AA18E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 LUT: Możliwość wyboru i zastosowania tablicy VOI LUT</w:t>
            </w:r>
          </w:p>
          <w:p w14:paraId="6D892FE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Resetowanie: Resetowanie widoku obrazu do stanu pierwotnego</w:t>
            </w:r>
          </w:p>
          <w:p w14:paraId="42FE90CC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B05B5A8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pomocnicze:</w:t>
            </w:r>
          </w:p>
          <w:p w14:paraId="6516B5D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Wyszukiwarka</w:t>
            </w:r>
          </w:p>
          <w:p w14:paraId="3349C6D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Skróty klawiszowe</w:t>
            </w:r>
          </w:p>
          <w:p w14:paraId="305E6E5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Etykiety orientacyjne krawędziach obrazów wyraźnie wskazują orientację badania</w:t>
            </w:r>
          </w:p>
          <w:p w14:paraId="31BADA1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obrazu z przeglądarki</w:t>
            </w:r>
          </w:p>
          <w:p w14:paraId="684D74D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Prześlij badanie</w:t>
            </w:r>
          </w:p>
          <w:p w14:paraId="7E87C60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Eksport w różnych formatach: DICOM, jpg/mp4,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/mp4,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/mp4 i BMP/mp4.</w:t>
            </w:r>
          </w:p>
          <w:p w14:paraId="39C3D7C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anonimizacji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udostępniania badań</w:t>
            </w:r>
          </w:p>
          <w:p w14:paraId="293A993C" w14:textId="77777777" w:rsidR="00F55476" w:rsidRDefault="00F55476">
            <w:pPr>
              <w:pStyle w:val="Default"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8154A65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Specjalistyczne funkcje:</w:t>
            </w:r>
          </w:p>
          <w:p w14:paraId="73D3D5F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transmisji na żywo</w:t>
            </w:r>
          </w:p>
          <w:p w14:paraId="20C527D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trybu wieloklatkowego (Multi-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95861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plików wideo MPEG-2 i MPEG-4</w:t>
            </w:r>
          </w:p>
          <w:p w14:paraId="71471D2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badań EKG</w:t>
            </w:r>
          </w:p>
          <w:p w14:paraId="5035CBA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plików PDF</w:t>
            </w:r>
          </w:p>
          <w:p w14:paraId="3AD30DA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formatów: DICOM, BMP, JPG, TIFF, MPEG, PDF i TXT</w:t>
            </w:r>
          </w:p>
          <w:p w14:paraId="4DBF91C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PR: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Obsługa adnotacji Presentation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proofErr w:type="spellEnd"/>
          </w:p>
          <w:p w14:paraId="4948CF3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obiektów kluczowych (KO):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</w:t>
            </w:r>
            <w:r>
              <w:rPr>
                <w:rFonts w:ascii="Arial" w:hAnsi="Arial" w:cs="Arial"/>
                <w:sz w:val="20"/>
                <w:szCs w:val="20"/>
              </w:rPr>
              <w:t>oznaczania obrazów jako kluczowych obiektów i ich zapisywania. Możliwość otwarcia dostępnych obrazów kluczowych do przeglądu.</w:t>
            </w:r>
          </w:p>
          <w:p w14:paraId="0942733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stworzenia montażu różnych obrazów i zapisania go jako wtórny obraz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nowej serii.</w:t>
            </w:r>
          </w:p>
          <w:p w14:paraId="554A864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Fuzja PET-CT: Możliwość łączenia serii badań typu PET i CT, łącząc w ten sposób miejsca skupisk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radiofarmaceutyków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budową anatomiczną pacjenta</w:t>
            </w:r>
          </w:p>
          <w:p w14:paraId="270D48D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Fuzja: Fuzję można zastosować w badaniach PET, CT, MR, NM lub innych skonfigurowanych rodzajach</w:t>
            </w:r>
          </w:p>
          <w:p w14:paraId="43AF9EFE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Cyfrowa subtrakcja obrazów: Możliwość zastosowania maski cyfrowej angiografii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subtrakcyjnej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obrazów XA</w:t>
            </w:r>
          </w:p>
          <w:p w14:paraId="4373560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Schematy kolorystyczne: Możliwość wyróżnienia składowych kolorystycznych lub ich kombinacji na obrazach</w:t>
            </w:r>
          </w:p>
          <w:p w14:paraId="3AB84FFE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BE18A01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MPR:</w:t>
            </w:r>
          </w:p>
          <w:p w14:paraId="2678343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Ortogonalny MPR: Wielopłaszczyznowa rekonstrukcja 2D z projekcjami poprzecznymi, czołowymi i strzałkowymi.</w:t>
            </w:r>
          </w:p>
          <w:p w14:paraId="6C76D78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Poprzeczny MPR: Poprzeczna rekonstrukcja wielopłaszczyznowa</w:t>
            </w:r>
          </w:p>
          <w:p w14:paraId="2637117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Czołowy MPR: Czołowa rekonstrukcja wielopłaszczyznowa.</w:t>
            </w:r>
          </w:p>
          <w:p w14:paraId="29A5B75B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Strzałkowy MPR: Strzałkowa rekonstrukcja wielopłaszczyznowa</w:t>
            </w:r>
          </w:p>
          <w:p w14:paraId="5577EF9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Funkcje 2D: Poziomowanie okna, przesuwanie, powiększanie, pomiary, przewijanie, celownik itp. Z wyjątkiem funkcji odwracania/obracania obrazu.</w:t>
            </w:r>
          </w:p>
          <w:p w14:paraId="752EF29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filmowy: Przeglądanie serii obrazów MIP/MPR w celu szybkiego przeglądu anatomii w zakresie zdefiniowanym przez użytkownika</w:t>
            </w:r>
          </w:p>
          <w:p w14:paraId="251D1499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7ABFCBC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Funkcje MIST Skośny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MPR/MIP/3D:</w:t>
            </w:r>
          </w:p>
          <w:p w14:paraId="4C0B994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Skośny: Rekonstrukcja wielopłaszczyznowa (MPR) w skośnych płaszczyznach</w:t>
            </w:r>
          </w:p>
          <w:p w14:paraId="74032E1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MIP: Tryb projekcji maksymalnej gęstości</w:t>
            </w:r>
          </w:p>
          <w:p w14:paraId="390C6CF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Tryb projekcji minimalnej gęstości.</w:t>
            </w:r>
          </w:p>
          <w:p w14:paraId="2CBD318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AVG: Tryb średniej gęstości.</w:t>
            </w:r>
          </w:p>
          <w:p w14:paraId="71229E5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Regularne funkcje: Poziomowanie Okna, Przesuwanie, Powiększanie; Przewijanie, Celownik.</w:t>
            </w:r>
          </w:p>
          <w:p w14:paraId="5820C78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Pomiary: Linia, Kąt, Elipsa, Krzywa, Ołówek.</w:t>
            </w:r>
          </w:p>
          <w:p w14:paraId="7C930C6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Funkcje widoku: Kopiowanie do schowka,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Wybór układu widoku, Ukrywanie osi, Wyśrodkowanie, Resetowanie</w:t>
            </w:r>
          </w:p>
          <w:p w14:paraId="305002D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objętości 3D z funkcjami obracania, przesuwania, powiększania i poziomowania okien oraz stosowanie ustawień wstępnych funkcji przenoszenia.</w:t>
            </w:r>
          </w:p>
          <w:p w14:paraId="0889E52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Porównanie MPR/MIP/3D: Możliwość jednoczesnego porównywania kilku widoków MPR/MIP/3D.</w:t>
            </w:r>
          </w:p>
          <w:p w14:paraId="2D27A922" w14:textId="77777777" w:rsidR="00F55476" w:rsidRDefault="00F55476">
            <w:pPr>
              <w:pStyle w:val="Default"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5905324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MIST MIP:</w:t>
            </w:r>
          </w:p>
          <w:p w14:paraId="6CD28B7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Poprzeczny MIP: Wielopłaszczyznowa rekonstrukcja poprzeczna z funkcją MIP</w:t>
            </w:r>
          </w:p>
          <w:p w14:paraId="643CD94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Czołowy MIP: Wielopłaszczyznowa rekonstrukcja czołowa z funkcją MIP.</w:t>
            </w:r>
          </w:p>
          <w:p w14:paraId="0D674CB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Strzałkowy MIP: Wielopłaszczyznowa rekonstrukcja strzałkowa z funkcją MIP</w:t>
            </w:r>
          </w:p>
          <w:p w14:paraId="4EF5A6A5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106F650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personalizacji:</w:t>
            </w:r>
          </w:p>
          <w:p w14:paraId="432423E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Motyw: Możliwość zmiany domyślnego koloru (czerwonego) na niebieski, który jest dobrze widoczny na monitorach monochromatycznych</w:t>
            </w:r>
          </w:p>
          <w:p w14:paraId="5C81D0F2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miniatur: Wyświetlana jest jedna miniatura na serię CT/MR/PET. Możliwość skonfigurowania wszystkich miniatur dla serii, które mają być wyświetlane</w:t>
            </w:r>
          </w:p>
          <w:p w14:paraId="7B39BC1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Dyskretne, wstępne ładowanie obrazów: Opcjonalne wstępne ładowanie obrazów w serii CT/MR/PET po przeciągnięciu miniatury do widoku</w:t>
            </w:r>
          </w:p>
          <w:p w14:paraId="70F09E1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wielu języków: Domyślne języki minimum: polski, angielski</w:t>
            </w:r>
          </w:p>
          <w:p w14:paraId="59ED779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dialogowe: Możliwość zmiany rozmiaru i przeciągania okien dialogowych</w:t>
            </w:r>
          </w:p>
          <w:p w14:paraId="06121F0C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03DC982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przeglądarek internetowych:</w:t>
            </w:r>
          </w:p>
          <w:p w14:paraId="5D6831E7" w14:textId="77777777" w:rsidR="00F55476" w:rsidRDefault="006B004F" w:rsidP="001D268B">
            <w:pPr>
              <w:pStyle w:val="Default"/>
              <w:widowControl/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korzystania z oprogramowania diagnostycznego z wykorzystaniem różnych min. 4 przeglądarek internetowych w tym minimum: Microsoft Edge, Mozilla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Google Chrome, Safari</w:t>
            </w:r>
          </w:p>
          <w:p w14:paraId="014F552C" w14:textId="77777777" w:rsidR="00F55476" w:rsidRDefault="006B004F" w:rsidP="001D268B">
            <w:pPr>
              <w:pStyle w:val="Default"/>
              <w:widowControl/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poprawnej pracy oprogramowania diagnostycznego minimum na 2 systemach operacyjnych w tym minimum: Windows 11 lub nowszy, Apple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 lub nowszy</w:t>
            </w:r>
          </w:p>
          <w:p w14:paraId="5B832A36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1F7406B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przeglądarki za pomocą urządzeń typu smartfon/tablet:</w:t>
            </w:r>
          </w:p>
          <w:p w14:paraId="156F3645" w14:textId="77777777" w:rsidR="00F55476" w:rsidRDefault="006B004F" w:rsidP="001D268B">
            <w:pPr>
              <w:pStyle w:val="Default"/>
              <w:widowControl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korzystania z oprogramowania diagnostycznego na minimum 2 platformach systemowych dla smartfonów/tabletów w tym minimum: Android i iOS</w:t>
            </w:r>
          </w:p>
          <w:p w14:paraId="6681B008" w14:textId="77777777" w:rsidR="00F55476" w:rsidRDefault="00F55476">
            <w:pPr>
              <w:pStyle w:val="Default"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84B213D" w14:textId="77777777" w:rsidR="00F55476" w:rsidRDefault="006B004F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Adaptacyjny „responsywny” interfejs użytkownika o rozmiarze ekranu dla tabletów i smartfonów.</w:t>
            </w:r>
          </w:p>
          <w:p w14:paraId="1546DE14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AC27297" w14:textId="77777777" w:rsidR="00F55476" w:rsidRDefault="006B004F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typu Multi-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tabletów, smartfonów i dotykowych monitorów: zmiana kontrastu i jasności, powiększanie, przesuwanie, przewijanie, pomiary.</w:t>
            </w:r>
          </w:p>
          <w:p w14:paraId="70B2F613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C973456" w14:textId="77777777" w:rsidR="00F55476" w:rsidRDefault="006B004F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nagrywania CD / DVD.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BF7D6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3B31D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F4A3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86A9B7B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32A3F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I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C9BA63" w14:textId="77777777" w:rsidR="00F55476" w:rsidRDefault="006B004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003883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84DD8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34032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E33BB4F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DB982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67C051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technicznej oraz projektu osłon stałych dla PWIS w zakresie ochrony radiologicznej dla pomieszczenia z nowo instalowanym aparatem TK– wykonanie obliczeń osłon stałych przed promieniowaniem z uwzględnieniem wymagań określonych w ustawie Prawo atomowe z dn. 29 listopada 2000 r. (Dz.U. 2023, Poz. 1173) oraz Rozporządzeniu Ministra Zdrowia w sprawie szczegółowych warunków bezpiecznej pracy ze źródłami promieniowania jonizującego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(Dz.U. 2006 nr 180, Poz. 1325).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49C236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AC62D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58A80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4E35C25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A5B5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391C86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osłon stałych w przypadku, gdyby z projektu wynikało, że istniejące osłony pracowni są niewystarczające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0821DC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07E55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F519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282468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52CA5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2834DC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Szyba oddzielająca pomieszczenie aparatu TK od sterowni, zabezpieczająca przed promieniowaniem jonizującym o osłonności równoważnej warstwie Pb o grubości wynikającej z projektu technicznego w zakresie ochrony radiologicznej.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808E93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EA6F2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B6E52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F08E378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D7E9B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82E721F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wentylacji z krotnością wymiany powietrza w ciągu godziny wymaganą specyfikacją urządzenia oraz przepisami prawa dla pracowni rentgenowskich zgodnie z Rozporządzeniem Ministra Zdrowia w sprawie szczegółowych warunków bezpiecznej pracy ze źródłami promieniowania jonizującego (Dz.U. 2006 nr 180, Poz. 1325).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DCB1C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9DFB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C880F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8CE158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0B349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EDF91F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poszczególnych elementów oferowanej konfiguracji Wykonawca gwarantuje instruktarz personelu Użytkownika:</w:t>
            </w:r>
          </w:p>
          <w:p w14:paraId="777AF9CB" w14:textId="77777777" w:rsidR="00F55476" w:rsidRDefault="006B004F" w:rsidP="001D268B">
            <w:pPr>
              <w:widowControl/>
              <w:numPr>
                <w:ilvl w:val="0"/>
                <w:numId w:val="34"/>
              </w:numPr>
              <w:spacing w:before="40" w:after="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personelu medycznego, inżynieryjnego i technicznego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poziomie podstawowym po uruchomieniu aparatury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 Zamawiającego w zależności od potrzeb – min. 5 dni po 6 godzin na dzień – odbycie instruktarzu będzie podstawą do podpisania protokołu odbioru końcowego </w:t>
            </w:r>
          </w:p>
          <w:p w14:paraId="43CDD14A" w14:textId="77777777" w:rsidR="00F55476" w:rsidRDefault="006B004F" w:rsidP="001D268B">
            <w:pPr>
              <w:widowControl/>
              <w:numPr>
                <w:ilvl w:val="0"/>
                <w:numId w:val="34"/>
              </w:numPr>
              <w:spacing w:before="40" w:after="40"/>
              <w:jc w:val="both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w okresie gwarancji stała możliwość konsultacji dla użytkowników, zgodnie z bieżącymi potrzebami, w zakresie zaawansowanych funkcji i technik użytkowania aparatury – rozumiane jako wsparcie aplikacyjne, które odbywać się może w sposób stacjonarny u Zamawiającego po wcześniejszym uzgodnieniu z Wykonawcą lub telefoniczny.</w:t>
            </w:r>
          </w:p>
          <w:p w14:paraId="49E2D721" w14:textId="77777777" w:rsidR="00F55476" w:rsidRDefault="006B004F">
            <w:pPr>
              <w:widowControl/>
              <w:spacing w:before="40" w:after="40"/>
              <w:ind w:left="7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Instruktaże wstępne u Zamawiającego przeprowadzone zostaną w formie stacjonarnej przez Wykonawcę w języku polskim lub z udziałem tłumacza i udokumentowane zostaną stosownym zaświadczeniem, w terminie uzgodnionym z Użytkownikiem. Instruktaże wstępne muszą odbyć się do czasu odebrania przedmiotu zamówienia protokołem końcowym.</w:t>
            </w:r>
          </w:p>
          <w:p w14:paraId="1E63DF43" w14:textId="77777777" w:rsidR="00F55476" w:rsidRDefault="006B004F">
            <w:pPr>
              <w:widowControl/>
              <w:spacing w:before="40" w:after="40"/>
              <w:ind w:left="720"/>
              <w:jc w:val="both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wymaga także instruktażu stanowiskowego specjalistycznego,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odbędzie się po przekazaniu urządzenia do zastosowań klinicznych w terminie do 8 miesięcy (od dnia odbioru końcowego przedmiotu zamówienia). 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instruktażu specjalistycznego obędzie się w terminach uzgodnionych z Wykonawcą jednak nie później niż w ciągu 48 godzin od zlecenia przez Zamawiającego. Całkowity czas trwania instruktażu stanowiskowego wynosi 7 dni po 5 godzin dziennie bez ograniczeń ilościowych osób przeszkalanych. Szkolenie to obejmuję w szczegółowości wsparcie podczas badań, ustawienie protokołów, oraz inne zagadnienia istotne dla prawidłowej obsługi systemu i wykonywania badań.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78D1B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1386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16B943" w14:textId="77777777" w:rsidR="00F55476" w:rsidRDefault="00F55476">
            <w:pPr>
              <w:spacing w:before="40" w:after="40"/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A5BD5E9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1BF1B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15035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 odpowiada za przeprowadzenie testów odbiorczych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 eksploatacyjnych (podstawowych i specjalistycznych) przez zewnętrzną, niezależną firmę posiadającą odpowiednią akredytację, przy udziale przedstawicieli Zamawiającego w zakresie TK zgodnie z wytycznymi opisanymi w Rozporządzeniu Ministra Zdrowia w sprawie w sprawie testów eksploatacyjnych urządzeń radiologicznych i urządzeń pomocniczych (Dz. U. 2022, Poz. 2759).  Wymagane jest dostarczenie wersji papierowej i elektronicznej z testów.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2E4F9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AF26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583E5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AF28A12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2A2AE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BBCE6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 odpowiada za przeprowadzenie testów odbiorczych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 eksploatacyjnych (podstawowych i specjalistycznych) monitorów zgodnie z Rozporządzeniem Ministra Zdrowia w sprawie testów eksploatacyjnych urządzeń radiologicznych i urządzeń pomocniczych (Dz. U. 2022, Poz. 2759). Wymagane jest dostarczenie wersji papierowej i elektronicznej z testów.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EA4F5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F365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8E5F8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A8B9131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A77C7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5F270A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Przeglądy systemu UPS w trakcie gwarancji zgodnie z zaleceniami producenta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6998D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19C47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92672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FDCDD39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4DD8B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7FF578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Instrukcje obsługi dla wszystkich urządzeń – wydrukowana (papierowa), w języku polskim, min. 1 sztuka dostarczone z urządzeniem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F8C248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41F4C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5898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0014FD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1FBA0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31AFEF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Instrukcje obsługi dla wszystkich urządzeń – wersja elektroniczna (format .pdf, bez hasła zabezpieczającego, z możliwością drukowania i przeszukiwania zawartości – wyszukiwanie konkretnego tekstu), w języku polskim min. 1 sztuka oraz języku angielskim min 1 sztuka (dostarczone na nośniku CD/DVD lub na nośniku pamięci typu pendrive) dostarczone z urządzeniami.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373F8A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8D51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70D09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0171D73" w14:textId="77777777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3214B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516C0C" w14:textId="77777777" w:rsidR="00F55476" w:rsidRDefault="006B004F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Wykonawca dostarcza wraz z aparatem TK w wersji papierowej i elektronicznej:</w:t>
            </w:r>
          </w:p>
          <w:p w14:paraId="01AAF1B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5"/>
              </w:numPr>
              <w:textAlignment w:val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informację dotyczącą narażenia związanego z urządzeniem, właściwego stosowania, testowania i konserwacji urządzenia, 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a także wykazującą, że konstrukcja urządzenia pozwala ograniczyć narażenie do najniższego rozsądnie osiągalnego poziomu.</w:t>
            </w:r>
          </w:p>
          <w:p w14:paraId="1607956E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5"/>
              </w:numPr>
              <w:textAlignment w:val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informację dotyczącą oceny ryzyka dla pacjentów oraz dostępnych elementów oceny klinicznej urządzenia radiologicznego.</w:t>
            </w:r>
          </w:p>
          <w:p w14:paraId="3BFC6D49" w14:textId="77777777" w:rsidR="00F55476" w:rsidRDefault="00F5547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F96F9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3A1D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77E84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191F5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p w14:paraId="7FD91AEC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p w14:paraId="46EAD568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p w14:paraId="3A09D26B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sectPr w:rsidR="00F55476">
      <w:pgSz w:w="16838" w:h="11906" w:orient="landscape"/>
      <w:pgMar w:top="1134" w:right="1134" w:bottom="1134" w:left="85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5FC036" w16cex:dateUtc="2024-04-04T07:54:00Z"/>
  <w16cex:commentExtensible w16cex:durableId="1B4D620C" w16cex:dateUtc="2024-04-04T07:48:00Z"/>
  <w16cex:commentExtensible w16cex:durableId="30A73B48" w16cex:dateUtc="2024-04-04T07:54:00Z"/>
  <w16cex:commentExtensible w16cex:durableId="565A0E9F" w16cex:dateUtc="2024-04-04T07:41:00Z"/>
  <w16cex:commentExtensible w16cex:durableId="309A8147" w16cex:dateUtc="2024-04-04T07:36:00Z"/>
  <w16cex:commentExtensible w16cex:durableId="6476451B" w16cex:dateUtc="2024-04-04T07:35:00Z"/>
  <w16cex:commentExtensible w16cex:durableId="2410502F" w16cex:dateUtc="2024-04-04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8001" w14:textId="77777777" w:rsidR="00A26286" w:rsidRDefault="00A26286">
      <w:r>
        <w:separator/>
      </w:r>
    </w:p>
  </w:endnote>
  <w:endnote w:type="continuationSeparator" w:id="0">
    <w:p w14:paraId="3F4BCCAC" w14:textId="77777777" w:rsidR="00A26286" w:rsidRDefault="00A2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DA50" w14:textId="77777777" w:rsidR="00A26286" w:rsidRDefault="00A26286">
      <w:r>
        <w:rPr>
          <w:color w:val="000000"/>
        </w:rPr>
        <w:separator/>
      </w:r>
    </w:p>
  </w:footnote>
  <w:footnote w:type="continuationSeparator" w:id="0">
    <w:p w14:paraId="12F66D60" w14:textId="77777777" w:rsidR="00A26286" w:rsidRDefault="00A2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DAA"/>
    <w:multiLevelType w:val="multilevel"/>
    <w:tmpl w:val="6166EF60"/>
    <w:styleLink w:val="WWNum10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A452573"/>
    <w:multiLevelType w:val="multilevel"/>
    <w:tmpl w:val="D8001724"/>
    <w:lvl w:ilvl="0">
      <w:numFmt w:val="bullet"/>
      <w:lvlText w:val="-"/>
      <w:lvlJc w:val="left"/>
      <w:pPr>
        <w:ind w:left="764" w:hanging="360"/>
      </w:pPr>
      <w:rPr>
        <w:lang w:val="en-US"/>
      </w:rPr>
    </w:lvl>
    <w:lvl w:ilvl="1">
      <w:numFmt w:val="bullet"/>
      <w:lvlText w:val="o"/>
      <w:lvlJc w:val="left"/>
      <w:pPr>
        <w:ind w:left="1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4" w:hanging="360"/>
      </w:pPr>
      <w:rPr>
        <w:rFonts w:ascii="Wingdings" w:hAnsi="Wingdings"/>
      </w:rPr>
    </w:lvl>
  </w:abstractNum>
  <w:abstractNum w:abstractNumId="2" w15:restartNumberingAfterBreak="0">
    <w:nsid w:val="0CB53796"/>
    <w:multiLevelType w:val="multilevel"/>
    <w:tmpl w:val="7AA0DC0C"/>
    <w:styleLink w:val="WW8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Cs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0CEC73E5"/>
    <w:multiLevelType w:val="multilevel"/>
    <w:tmpl w:val="E398D20A"/>
    <w:styleLink w:val="WW8Num5"/>
    <w:lvl w:ilvl="0">
      <w:start w:val="1"/>
      <w:numFmt w:val="upperRoman"/>
      <w:lvlText w:val="%1."/>
      <w:lvlJc w:val="left"/>
      <w:rPr>
        <w:b/>
        <w:bCs/>
        <w:color w:val="auto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color w:val="auto"/>
        <w:shd w:val="clear" w:color="auto" w:fil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color w:val="auto"/>
        <w:shd w:val="clear" w:color="auto" w:fil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102C2424"/>
    <w:multiLevelType w:val="multilevel"/>
    <w:tmpl w:val="4314E85A"/>
    <w:styleLink w:val="WWNum1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1826686"/>
    <w:multiLevelType w:val="multilevel"/>
    <w:tmpl w:val="DBA03F40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9E223A6"/>
    <w:multiLevelType w:val="multilevel"/>
    <w:tmpl w:val="83609B0C"/>
    <w:styleLink w:val="WWNum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CE07474"/>
    <w:multiLevelType w:val="multilevel"/>
    <w:tmpl w:val="BBFC2AB2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F2500B"/>
    <w:multiLevelType w:val="multilevel"/>
    <w:tmpl w:val="EF2E53EC"/>
    <w:styleLink w:val="WWNum11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F4439B5"/>
    <w:multiLevelType w:val="multilevel"/>
    <w:tmpl w:val="02B0823A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9174C"/>
    <w:multiLevelType w:val="multilevel"/>
    <w:tmpl w:val="E3444788"/>
    <w:styleLink w:val="WWNum12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208F382F"/>
    <w:multiLevelType w:val="multilevel"/>
    <w:tmpl w:val="3172631C"/>
    <w:styleLink w:val="WWNum12a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2EE96359"/>
    <w:multiLevelType w:val="multilevel"/>
    <w:tmpl w:val="30267F50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3F45467"/>
    <w:multiLevelType w:val="multilevel"/>
    <w:tmpl w:val="82BE348A"/>
    <w:styleLink w:val="WWNum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41C461C"/>
    <w:multiLevelType w:val="multilevel"/>
    <w:tmpl w:val="C540C376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5B936CD"/>
    <w:multiLevelType w:val="multilevel"/>
    <w:tmpl w:val="4410AAB6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94B3B25"/>
    <w:multiLevelType w:val="multilevel"/>
    <w:tmpl w:val="6F522E74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A9F302E"/>
    <w:multiLevelType w:val="multilevel"/>
    <w:tmpl w:val="34A6362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A77193"/>
    <w:multiLevelType w:val="multilevel"/>
    <w:tmpl w:val="B756CFA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C25C9A"/>
    <w:multiLevelType w:val="multilevel"/>
    <w:tmpl w:val="B8A083D4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AE2F22"/>
    <w:multiLevelType w:val="multilevel"/>
    <w:tmpl w:val="D310BEE8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E490460"/>
    <w:multiLevelType w:val="multilevel"/>
    <w:tmpl w:val="0450BB7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strike w:val="0"/>
        <w:dstrike w:val="0"/>
        <w:color w:val="auto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10C7634"/>
    <w:multiLevelType w:val="multilevel"/>
    <w:tmpl w:val="E900421A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7B04E67"/>
    <w:multiLevelType w:val="multilevel"/>
    <w:tmpl w:val="037E7062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97C24D5"/>
    <w:multiLevelType w:val="multilevel"/>
    <w:tmpl w:val="92CC3328"/>
    <w:styleLink w:val="WWNum1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3CB3"/>
    <w:multiLevelType w:val="multilevel"/>
    <w:tmpl w:val="D39A6012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662D82"/>
    <w:multiLevelType w:val="multilevel"/>
    <w:tmpl w:val="339E7B4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502B9B"/>
    <w:multiLevelType w:val="multilevel"/>
    <w:tmpl w:val="3384B3D8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AB6D33"/>
    <w:multiLevelType w:val="multilevel"/>
    <w:tmpl w:val="13DE9B70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4E453C1"/>
    <w:multiLevelType w:val="multilevel"/>
    <w:tmpl w:val="C6CE7F4A"/>
    <w:styleLink w:val="WWNum13"/>
    <w:lvl w:ilvl="0">
      <w:numFmt w:val="bullet"/>
      <w:lvlText w:val="-"/>
      <w:lvlJc w:val="left"/>
      <w:pPr>
        <w:ind w:left="764" w:hanging="360"/>
      </w:pPr>
    </w:lvl>
    <w:lvl w:ilvl="1">
      <w:numFmt w:val="bullet"/>
      <w:lvlText w:val="o"/>
      <w:lvlJc w:val="left"/>
      <w:pPr>
        <w:ind w:left="148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4" w:hanging="360"/>
      </w:pPr>
    </w:lvl>
    <w:lvl w:ilvl="3">
      <w:numFmt w:val="bullet"/>
      <w:lvlText w:val=""/>
      <w:lvlJc w:val="left"/>
      <w:pPr>
        <w:ind w:left="2924" w:hanging="360"/>
      </w:pPr>
    </w:lvl>
    <w:lvl w:ilvl="4">
      <w:numFmt w:val="bullet"/>
      <w:lvlText w:val="o"/>
      <w:lvlJc w:val="left"/>
      <w:pPr>
        <w:ind w:left="364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4" w:hanging="360"/>
      </w:pPr>
    </w:lvl>
    <w:lvl w:ilvl="6">
      <w:numFmt w:val="bullet"/>
      <w:lvlText w:val=""/>
      <w:lvlJc w:val="left"/>
      <w:pPr>
        <w:ind w:left="5084" w:hanging="360"/>
      </w:pPr>
    </w:lvl>
    <w:lvl w:ilvl="7">
      <w:numFmt w:val="bullet"/>
      <w:lvlText w:val="o"/>
      <w:lvlJc w:val="left"/>
      <w:pPr>
        <w:ind w:left="580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4" w:hanging="360"/>
      </w:pPr>
    </w:lvl>
  </w:abstractNum>
  <w:abstractNum w:abstractNumId="30" w15:restartNumberingAfterBreak="0">
    <w:nsid w:val="6AE92B8C"/>
    <w:multiLevelType w:val="multilevel"/>
    <w:tmpl w:val="A53A22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063524F"/>
    <w:multiLevelType w:val="multilevel"/>
    <w:tmpl w:val="D146E458"/>
    <w:styleLink w:val="WWNum11a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49F3F9B"/>
    <w:multiLevelType w:val="multilevel"/>
    <w:tmpl w:val="9D08ABCA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8E37C28"/>
    <w:multiLevelType w:val="multilevel"/>
    <w:tmpl w:val="9FF62E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7E457479"/>
    <w:multiLevelType w:val="multilevel"/>
    <w:tmpl w:val="32B80426"/>
    <w:styleLink w:val="WWNum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9"/>
  </w:num>
  <w:num w:numId="5">
    <w:abstractNumId w:val="21"/>
  </w:num>
  <w:num w:numId="6">
    <w:abstractNumId w:val="24"/>
  </w:num>
  <w:num w:numId="7">
    <w:abstractNumId w:val="8"/>
  </w:num>
  <w:num w:numId="8">
    <w:abstractNumId w:val="10"/>
  </w:num>
  <w:num w:numId="9">
    <w:abstractNumId w:val="25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14"/>
  </w:num>
  <w:num w:numId="15">
    <w:abstractNumId w:val="34"/>
  </w:num>
  <w:num w:numId="16">
    <w:abstractNumId w:val="32"/>
  </w:num>
  <w:num w:numId="17">
    <w:abstractNumId w:val="13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4"/>
  </w:num>
  <w:num w:numId="23">
    <w:abstractNumId w:val="27"/>
  </w:num>
  <w:num w:numId="24">
    <w:abstractNumId w:val="20"/>
  </w:num>
  <w:num w:numId="25">
    <w:abstractNumId w:val="19"/>
  </w:num>
  <w:num w:numId="26">
    <w:abstractNumId w:val="23"/>
  </w:num>
  <w:num w:numId="27">
    <w:abstractNumId w:val="28"/>
  </w:num>
  <w:num w:numId="28">
    <w:abstractNumId w:val="7"/>
  </w:num>
  <w:num w:numId="29">
    <w:abstractNumId w:val="22"/>
  </w:num>
  <w:num w:numId="30">
    <w:abstractNumId w:val="26"/>
  </w:num>
  <w:num w:numId="31">
    <w:abstractNumId w:val="18"/>
  </w:num>
  <w:num w:numId="32">
    <w:abstractNumId w:val="12"/>
  </w:num>
  <w:num w:numId="33">
    <w:abstractNumId w:val="17"/>
  </w:num>
  <w:num w:numId="34">
    <w:abstractNumId w:val="33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76"/>
    <w:rsid w:val="001D268B"/>
    <w:rsid w:val="002102B9"/>
    <w:rsid w:val="004E66D7"/>
    <w:rsid w:val="00670F31"/>
    <w:rsid w:val="006B004F"/>
    <w:rsid w:val="00750D2B"/>
    <w:rsid w:val="00751D27"/>
    <w:rsid w:val="00A26286"/>
    <w:rsid w:val="00AD3392"/>
    <w:rsid w:val="00B07E93"/>
    <w:rsid w:val="00BE6396"/>
    <w:rsid w:val="00C871C5"/>
    <w:rsid w:val="00CD6BB7"/>
    <w:rsid w:val="00CE0DBB"/>
    <w:rsid w:val="00D235D5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4EA7"/>
  <w15:docId w15:val="{A932C844-FEEC-43D3-A760-CB3369E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 PSMT" w:eastAsia="Times New Roman" w:hAnsi="Times New Roman PSMT" w:cs="Times New Roman PSMT"/>
      <w:color w:val="000000"/>
      <w:kern w:val="0"/>
      <w:lang w:eastAsia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NormalnyWeb">
    <w:name w:val="Normal (Web)"/>
    <w:pPr>
      <w:suppressAutoHyphens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26">
    <w:name w:val="xl26"/>
    <w:pPr>
      <w:suppressAutoHyphens/>
      <w:spacing w:before="100" w:after="100"/>
      <w:jc w:val="center"/>
    </w:pPr>
    <w:rPr>
      <w:rFonts w:ascii="Arial Unicode MS" w:eastAsia="Arial Unicode MS" w:hAnsi="Arial Unicode MS" w:cs="Arial Unicode MS"/>
      <w:kern w:val="0"/>
      <w:sz w:val="22"/>
      <w:szCs w:val="20"/>
      <w:lang w:eastAsia="pl-PL" w:bidi="ar-SA"/>
    </w:rPr>
  </w:style>
  <w:style w:type="paragraph" w:styleId="Poprawka">
    <w:name w:val="Revision"/>
    <w:pPr>
      <w:widowControl/>
      <w:suppressAutoHyphens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customStyle="1" w:styleId="Pa2">
    <w:name w:val="Pa2"/>
    <w:pPr>
      <w:suppressAutoHyphens/>
      <w:spacing w:line="161" w:lineRule="atLeast"/>
      <w:textAlignment w:val="auto"/>
    </w:pPr>
    <w:rPr>
      <w:rFonts w:eastAsia="Calibri" w:cs="Arial"/>
      <w:kern w:val="0"/>
      <w:lang w:eastAsia="en-US" w:bidi="ar-SA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auto"/>
    </w:pPr>
    <w:rPr>
      <w:rFonts w:ascii="Courier New" w:eastAsia="Times New Roman" w:hAnsi="Courier New" w:cs="Courier New"/>
      <w:kern w:val="0"/>
      <w:szCs w:val="20"/>
      <w:lang w:eastAsia="pl-PL" w:bidi="ar-SA"/>
    </w:rPr>
  </w:style>
  <w:style w:type="paragraph" w:customStyle="1" w:styleId="DefaultStyle">
    <w:name w:val="Default Style"/>
    <w:pPr>
      <w:widowControl/>
      <w:suppressAutoHyphens/>
      <w:textAlignment w:val="auto"/>
    </w:pPr>
    <w:rPr>
      <w:rFonts w:ascii="Trebuchet MS" w:eastAsia="Times New Roman" w:hAnsi="Trebuchet MS" w:cs="Trebuchet MS"/>
      <w:kern w:val="0"/>
      <w:sz w:val="20"/>
      <w:szCs w:val="20"/>
      <w:lang w:eastAsia="pl-PL" w:bidi="ar-SA"/>
    </w:rPr>
  </w:style>
  <w:style w:type="paragraph" w:customStyle="1" w:styleId="Tre">
    <w:name w:val="Treść"/>
    <w:pPr>
      <w:widowControl/>
      <w:pBdr>
        <w:top w:val="single" w:sz="2" w:space="31" w:color="FFFFFF"/>
        <w:left w:val="single" w:sz="2" w:space="31" w:color="FFFFFF"/>
        <w:bottom w:val="single" w:sz="2" w:space="31" w:color="FFFFFF"/>
        <w:right w:val="single" w:sz="2" w:space="31" w:color="FFFFFF"/>
      </w:pBdr>
      <w:suppressAutoHyphens/>
      <w:textAlignment w:val="auto"/>
    </w:pPr>
    <w:rPr>
      <w:rFonts w:ascii="Arial" w:eastAsia="Arial Unicode MS" w:hAnsi="Arial" w:cs="Arial Unicode MS"/>
      <w:color w:val="000000"/>
      <w:kern w:val="0"/>
      <w:sz w:val="20"/>
      <w:lang w:eastAsia="pl-PL" w:bidi="ar-SA"/>
    </w:rPr>
  </w:style>
  <w:style w:type="paragraph" w:customStyle="1" w:styleId="rozdzia">
    <w:name w:val="rozdział"/>
    <w:pPr>
      <w:tabs>
        <w:tab w:val="left" w:pos="0"/>
      </w:tabs>
      <w:suppressAutoHyphens/>
      <w:textAlignment w:val="auto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paragraph" w:styleId="Tekstdymka">
    <w:name w:val="Balloon Text"/>
    <w:pPr>
      <w:suppressAutoHyphens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trike w:val="0"/>
      <w:dstrike w:val="0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WW8Num3z0">
    <w:name w:val="WW8Num3z0"/>
    <w:rPr>
      <w:b/>
      <w:bCs/>
      <w:color w:val="auto"/>
      <w:shd w:val="clear" w:color="auto" w:fil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  <w:bCs/>
      <w:strike w:val="0"/>
      <w:dstrike w:val="0"/>
      <w:color w:val="auto"/>
    </w:rPr>
  </w:style>
  <w:style w:type="character" w:customStyle="1" w:styleId="WW8Num2z4">
    <w:name w:val="WW8Num2z4"/>
  </w:style>
  <w:style w:type="character" w:customStyle="1" w:styleId="WW8Num2z5">
    <w:name w:val="WW8Num2z5"/>
    <w:rPr>
      <w:rFonts w:ascii="Times New Roman" w:eastAsia="Times New Roman" w:hAnsi="Times New Roman" w:cs="Times New Roman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b/>
      <w:bCs/>
      <w:color w:val="auto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b w:val="0"/>
      <w:bCs w:val="0"/>
      <w:color w:val="auto"/>
      <w:shd w:val="clear" w:color="auto" w:fil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ascii="Arial" w:eastAsia="Arial" w:hAnsi="Arial" w:cs="Times New Roman"/>
      <w:b w:val="0"/>
      <w:bCs w:val="0"/>
      <w:strike w:val="0"/>
      <w:dstrike w:val="0"/>
      <w:color w:val="auto"/>
      <w:sz w:val="20"/>
      <w:szCs w:val="20"/>
      <w:shd w:val="clear" w:color="auto" w:fill="auto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  <w:rPr>
      <w:rFonts w:ascii="Symbol" w:eastAsia="Symbol" w:hAnsi="Symbol" w:cs="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91">
    <w:name w:val="ListLabel 91"/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2">
    <w:name w:val="A2"/>
    <w:rPr>
      <w:color w:val="000000"/>
      <w:sz w:val="18"/>
      <w:szCs w:val="18"/>
    </w:rPr>
  </w:style>
  <w:style w:type="character" w:customStyle="1" w:styleId="y2iqfc">
    <w:name w:val="y2iq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kern w:val="0"/>
      <w:szCs w:val="20"/>
      <w:lang w:eastAsia="pl-PL" w:bidi="ar-SA"/>
    </w:rPr>
  </w:style>
  <w:style w:type="character" w:styleId="Wyrnieniedelikatne">
    <w:name w:val="Subtle Emphasis"/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character" w:customStyle="1" w:styleId="TekstdymkaZnak">
    <w:name w:val="Tekst dymka Znak"/>
    <w:rPr>
      <w:rFonts w:ascii="Segoe UI" w:eastAsia="Times New Roman" w:hAnsi="Segoe UI" w:cs="Segoe UI"/>
      <w:color w:val="000000"/>
      <w:kern w:val="0"/>
      <w:sz w:val="18"/>
      <w:szCs w:val="18"/>
      <w:lang w:eastAsia="pl-PL" w:bidi="ar-SA"/>
    </w:rPr>
  </w:style>
  <w:style w:type="character" w:customStyle="1" w:styleId="AkapitzlistZnak">
    <w:name w:val="Akapit z listą Znak"/>
  </w:style>
  <w:style w:type="character" w:customStyle="1" w:styleId="ListLabel109">
    <w:name w:val="ListLabel 109"/>
    <w:rPr>
      <w:b/>
      <w:bCs w:val="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cf01">
    <w:name w:val="cf01"/>
    <w:basedOn w:val="Domylnaczcionkaakapit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Num1a">
    <w:name w:val="WWNum1a"/>
    <w:basedOn w:val="Bezlisty"/>
    <w:pPr>
      <w:numPr>
        <w:numId w:val="6"/>
      </w:numPr>
    </w:pPr>
  </w:style>
  <w:style w:type="numbering" w:customStyle="1" w:styleId="WWNum11">
    <w:name w:val="WWNum11"/>
    <w:basedOn w:val="Bezlisty"/>
    <w:pPr>
      <w:numPr>
        <w:numId w:val="7"/>
      </w:numPr>
    </w:pPr>
  </w:style>
  <w:style w:type="numbering" w:customStyle="1" w:styleId="WWNum12">
    <w:name w:val="WWNum1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numbering" w:customStyle="1" w:styleId="WWNum11a">
    <w:name w:val="WWNum11a"/>
    <w:basedOn w:val="Bezlisty"/>
    <w:pPr>
      <w:numPr>
        <w:numId w:val="19"/>
      </w:numPr>
    </w:pPr>
  </w:style>
  <w:style w:type="numbering" w:customStyle="1" w:styleId="WWNum12a">
    <w:name w:val="WWNum12a"/>
    <w:basedOn w:val="Bezlisty"/>
    <w:pPr>
      <w:numPr>
        <w:numId w:val="20"/>
      </w:numPr>
    </w:pPr>
  </w:style>
  <w:style w:type="numbering" w:customStyle="1" w:styleId="WWNum13">
    <w:name w:val="WWNum13"/>
    <w:basedOn w:val="Bezlisty"/>
    <w:pPr>
      <w:numPr>
        <w:numId w:val="21"/>
      </w:numPr>
    </w:pPr>
  </w:style>
  <w:style w:type="numbering" w:customStyle="1" w:styleId="WWNum14">
    <w:name w:val="WW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6585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Wasilewicz</dc:creator>
  <cp:lastModifiedBy>Elżbieta Śmietana</cp:lastModifiedBy>
  <cp:revision>7</cp:revision>
  <cp:lastPrinted>2024-03-15T13:35:00Z</cp:lastPrinted>
  <dcterms:created xsi:type="dcterms:W3CDTF">2024-04-04T08:36:00Z</dcterms:created>
  <dcterms:modified xsi:type="dcterms:W3CDTF">2024-04-04T11:23:00Z</dcterms:modified>
</cp:coreProperties>
</file>